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23805" w14:textId="585D3FDB" w:rsidR="00CE5A2C" w:rsidRDefault="00CE5A2C" w:rsidP="00B175E9">
      <w:pPr>
        <w:rPr>
          <w:b/>
          <w:bCs/>
          <w:sz w:val="24"/>
          <w:szCs w:val="24"/>
        </w:rPr>
      </w:pPr>
      <w:r w:rsidRPr="00CE5A2C">
        <w:rPr>
          <w:b/>
          <w:bCs/>
          <w:noProof/>
          <w:sz w:val="24"/>
          <w:szCs w:val="24"/>
        </w:rPr>
        <w:drawing>
          <wp:anchor distT="0" distB="0" distL="114300" distR="114300" simplePos="0" relativeHeight="251721728" behindDoc="0" locked="0" layoutInCell="1" allowOverlap="1" wp14:anchorId="6346C271" wp14:editId="3162B0B3">
            <wp:simplePos x="0" y="0"/>
            <wp:positionH relativeFrom="column">
              <wp:posOffset>4266580</wp:posOffset>
            </wp:positionH>
            <wp:positionV relativeFrom="paragraph">
              <wp:posOffset>-1522641</wp:posOffset>
            </wp:positionV>
            <wp:extent cx="2751455" cy="11402325"/>
            <wp:effectExtent l="0" t="0" r="0" b="8890"/>
            <wp:wrapNone/>
            <wp:docPr id="6" name="Immagine 5" descr="Immagine che contiene schermata, Elementi grafici, grafica, Policromia&#10;&#10;Descrizione generata automaticamente">
              <a:extLst xmlns:a="http://schemas.openxmlformats.org/drawingml/2006/main">
                <a:ext uri="{FF2B5EF4-FFF2-40B4-BE49-F238E27FC236}">
                  <a16:creationId xmlns:a16="http://schemas.microsoft.com/office/drawing/2014/main" id="{843050CD-13D5-83DD-CE5A-9297F2DA18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mmagine che contiene schermata, Elementi grafici, grafica, Policromia&#10;&#10;Descrizione generata automaticamente">
                      <a:extLst>
                        <a:ext uri="{FF2B5EF4-FFF2-40B4-BE49-F238E27FC236}">
                          <a16:creationId xmlns:a16="http://schemas.microsoft.com/office/drawing/2014/main" id="{843050CD-13D5-83DD-CE5A-9297F2DA1828}"/>
                        </a:ext>
                      </a:extLst>
                    </pic:cNvPr>
                    <pic:cNvPicPr>
                      <a:picLocks noChangeAspect="1"/>
                    </pic:cNvPicPr>
                  </pic:nvPicPr>
                  <pic:blipFill>
                    <a:blip r:embed="rId8">
                      <a:alphaModFix amt="50000"/>
                    </a:blip>
                    <a:stretch>
                      <a:fillRect/>
                    </a:stretch>
                  </pic:blipFill>
                  <pic:spPr>
                    <a:xfrm>
                      <a:off x="0" y="0"/>
                      <a:ext cx="2753103" cy="11409155"/>
                    </a:xfrm>
                    <a:prstGeom prst="rect">
                      <a:avLst/>
                    </a:prstGeom>
                  </pic:spPr>
                </pic:pic>
              </a:graphicData>
            </a:graphic>
            <wp14:sizeRelV relativeFrom="margin">
              <wp14:pctHeight>0</wp14:pctHeight>
            </wp14:sizeRelV>
          </wp:anchor>
        </w:drawing>
      </w:r>
      <w:r w:rsidRPr="00CE5A2C">
        <w:rPr>
          <w:b/>
          <w:bCs/>
          <w:noProof/>
          <w:sz w:val="24"/>
          <w:szCs w:val="24"/>
        </w:rPr>
        <w:drawing>
          <wp:anchor distT="0" distB="0" distL="114300" distR="114300" simplePos="0" relativeHeight="251604992" behindDoc="0" locked="0" layoutInCell="1" allowOverlap="1" wp14:anchorId="0E39602E" wp14:editId="0EF7E7AC">
            <wp:simplePos x="0" y="0"/>
            <wp:positionH relativeFrom="column">
              <wp:posOffset>372110</wp:posOffset>
            </wp:positionH>
            <wp:positionV relativeFrom="paragraph">
              <wp:posOffset>9940925</wp:posOffset>
            </wp:positionV>
            <wp:extent cx="3847334" cy="1065670"/>
            <wp:effectExtent l="0" t="0" r="1270" b="1270"/>
            <wp:wrapNone/>
            <wp:docPr id="2" name="Immagine 1" descr="Immagine che contiene testo, Carattere, logo, Elementi grafici&#10;&#10;Descrizione generata automaticamente">
              <a:extLst xmlns:a="http://schemas.openxmlformats.org/drawingml/2006/main">
                <a:ext uri="{FF2B5EF4-FFF2-40B4-BE49-F238E27FC236}">
                  <a16:creationId xmlns:a16="http://schemas.microsoft.com/office/drawing/2014/main" id="{61631399-EB1A-36CC-9937-BB8A57F18E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Elementi grafici&#10;&#10;Descrizione generata automaticamente">
                      <a:extLst>
                        <a:ext uri="{FF2B5EF4-FFF2-40B4-BE49-F238E27FC236}">
                          <a16:creationId xmlns:a16="http://schemas.microsoft.com/office/drawing/2014/main" id="{61631399-EB1A-36CC-9937-BB8A57F18E18}"/>
                        </a:ext>
                      </a:extLst>
                    </pic:cNvPr>
                    <pic:cNvPicPr>
                      <a:picLocks noChangeAspect="1"/>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3847334" cy="1065670"/>
                    </a:xfrm>
                    <a:prstGeom prst="rect">
                      <a:avLst/>
                    </a:prstGeom>
                  </pic:spPr>
                </pic:pic>
              </a:graphicData>
            </a:graphic>
          </wp:anchor>
        </w:drawing>
      </w:r>
    </w:p>
    <w:p w14:paraId="3EB0F242" w14:textId="77777777" w:rsidR="00B16D35" w:rsidRPr="00B16D35" w:rsidRDefault="00B16D35" w:rsidP="00B16D35">
      <w:pPr>
        <w:rPr>
          <w:sz w:val="24"/>
          <w:szCs w:val="24"/>
        </w:rPr>
      </w:pPr>
    </w:p>
    <w:p w14:paraId="3C11EEBA" w14:textId="77777777" w:rsidR="00B16D35" w:rsidRPr="00B16D35" w:rsidRDefault="00B16D35" w:rsidP="00B16D35">
      <w:pPr>
        <w:rPr>
          <w:sz w:val="24"/>
          <w:szCs w:val="24"/>
        </w:rPr>
      </w:pPr>
    </w:p>
    <w:p w14:paraId="7DB47A7A" w14:textId="77777777" w:rsidR="00B16D35" w:rsidRPr="00B16D35" w:rsidRDefault="00B16D35" w:rsidP="00B16D35">
      <w:pPr>
        <w:rPr>
          <w:sz w:val="24"/>
          <w:szCs w:val="24"/>
        </w:rPr>
      </w:pPr>
    </w:p>
    <w:p w14:paraId="0F5E8ABD" w14:textId="77777777" w:rsidR="00B16D35" w:rsidRPr="00B16D35" w:rsidRDefault="00B16D35" w:rsidP="00B16D35">
      <w:pPr>
        <w:rPr>
          <w:sz w:val="24"/>
          <w:szCs w:val="24"/>
        </w:rPr>
      </w:pPr>
    </w:p>
    <w:p w14:paraId="65D69768" w14:textId="77777777" w:rsidR="00B16D35" w:rsidRPr="00B16D35" w:rsidRDefault="00B16D35" w:rsidP="00B16D35">
      <w:pPr>
        <w:rPr>
          <w:sz w:val="24"/>
          <w:szCs w:val="24"/>
        </w:rPr>
      </w:pPr>
    </w:p>
    <w:p w14:paraId="3C573FFD" w14:textId="77777777" w:rsidR="00B16D35" w:rsidRPr="00B16D35" w:rsidRDefault="00B16D35" w:rsidP="00B16D35">
      <w:pPr>
        <w:rPr>
          <w:sz w:val="24"/>
          <w:szCs w:val="24"/>
        </w:rPr>
      </w:pPr>
    </w:p>
    <w:p w14:paraId="51DD566B" w14:textId="77777777" w:rsidR="00B16D35" w:rsidRPr="00B16D35" w:rsidRDefault="00B16D35" w:rsidP="00B16D35">
      <w:pPr>
        <w:rPr>
          <w:sz w:val="24"/>
          <w:szCs w:val="24"/>
        </w:rPr>
      </w:pPr>
    </w:p>
    <w:p w14:paraId="1A86949D" w14:textId="77777777" w:rsidR="00B16D35" w:rsidRPr="00B16D35" w:rsidRDefault="00B16D35" w:rsidP="00B16D35">
      <w:pPr>
        <w:rPr>
          <w:sz w:val="24"/>
          <w:szCs w:val="24"/>
        </w:rPr>
      </w:pPr>
    </w:p>
    <w:p w14:paraId="7740464E" w14:textId="77777777" w:rsidR="00B16D35" w:rsidRPr="00B16D35" w:rsidRDefault="00B16D35" w:rsidP="00B16D35">
      <w:pPr>
        <w:rPr>
          <w:sz w:val="24"/>
          <w:szCs w:val="24"/>
        </w:rPr>
      </w:pPr>
    </w:p>
    <w:p w14:paraId="6A6FFC1F" w14:textId="77777777" w:rsidR="00B16D35" w:rsidRPr="00B16D35" w:rsidRDefault="00B16D35" w:rsidP="00B16D35">
      <w:pPr>
        <w:rPr>
          <w:sz w:val="24"/>
          <w:szCs w:val="24"/>
        </w:rPr>
      </w:pPr>
    </w:p>
    <w:p w14:paraId="6034C819" w14:textId="0BA69CEE" w:rsidR="00B16D35" w:rsidRPr="00B16D35" w:rsidRDefault="00B16D35" w:rsidP="00B16D35">
      <w:pPr>
        <w:rPr>
          <w:sz w:val="24"/>
          <w:szCs w:val="24"/>
        </w:rPr>
      </w:pPr>
    </w:p>
    <w:p w14:paraId="2075E8AF" w14:textId="5B1C4C62" w:rsidR="00B16D35" w:rsidRPr="00B16D35" w:rsidRDefault="00B16D35" w:rsidP="00B16D35">
      <w:pPr>
        <w:rPr>
          <w:sz w:val="24"/>
          <w:szCs w:val="24"/>
        </w:rPr>
      </w:pPr>
      <w:r w:rsidRPr="00CE5A2C">
        <w:rPr>
          <w:b/>
          <w:bCs/>
          <w:noProof/>
          <w:sz w:val="24"/>
          <w:szCs w:val="24"/>
        </w:rPr>
        <mc:AlternateContent>
          <mc:Choice Requires="wps">
            <w:drawing>
              <wp:anchor distT="0" distB="0" distL="114300" distR="114300" simplePos="0" relativeHeight="251649024" behindDoc="0" locked="0" layoutInCell="1" allowOverlap="1" wp14:anchorId="7E9AD308" wp14:editId="7FBD5ACA">
                <wp:simplePos x="0" y="0"/>
                <wp:positionH relativeFrom="column">
                  <wp:posOffset>-33655</wp:posOffset>
                </wp:positionH>
                <wp:positionV relativeFrom="paragraph">
                  <wp:posOffset>53340</wp:posOffset>
                </wp:positionV>
                <wp:extent cx="6074410" cy="810895"/>
                <wp:effectExtent l="0" t="0" r="21590" b="27305"/>
                <wp:wrapNone/>
                <wp:docPr id="3" name="object 4">
                  <a:extLst xmlns:a="http://schemas.openxmlformats.org/drawingml/2006/main">
                    <a:ext uri="{FF2B5EF4-FFF2-40B4-BE49-F238E27FC236}">
                      <a16:creationId xmlns:a16="http://schemas.microsoft.com/office/drawing/2014/main" id="{7C48D41B-D104-583E-711A-4388ADF67F8A}"/>
                    </a:ext>
                  </a:extLst>
                </wp:docPr>
                <wp:cNvGraphicFramePr/>
                <a:graphic xmlns:a="http://schemas.openxmlformats.org/drawingml/2006/main">
                  <a:graphicData uri="http://schemas.microsoft.com/office/word/2010/wordprocessingShape">
                    <wps:wsp>
                      <wps:cNvSpPr/>
                      <wps:spPr>
                        <a:xfrm>
                          <a:off x="0" y="0"/>
                          <a:ext cx="6074410" cy="810895"/>
                        </a:xfrm>
                        <a:custGeom>
                          <a:avLst/>
                          <a:gdLst/>
                          <a:ahLst/>
                          <a:cxnLst/>
                          <a:rect l="l" t="t" r="r" b="b"/>
                          <a:pathLst>
                            <a:path w="7756525" h="1454785">
                              <a:moveTo>
                                <a:pt x="7755978" y="0"/>
                              </a:moveTo>
                              <a:lnTo>
                                <a:pt x="0" y="0"/>
                              </a:lnTo>
                              <a:lnTo>
                                <a:pt x="0" y="1454492"/>
                              </a:lnTo>
                              <a:lnTo>
                                <a:pt x="7755978" y="1454492"/>
                              </a:lnTo>
                              <a:lnTo>
                                <a:pt x="7755978" y="0"/>
                              </a:lnTo>
                              <a:close/>
                            </a:path>
                          </a:pathLst>
                        </a:custGeom>
                        <a:solidFill>
                          <a:srgbClr val="1F4F74"/>
                        </a:solidFill>
                        <a:ln>
                          <a:solidFill>
                            <a:srgbClr val="1F4F74"/>
                          </a:solidFill>
                        </a:ln>
                      </wps:spPr>
                      <wps:bodyPr wrap="square" lIns="0" tIns="0" rIns="0" bIns="0" rtlCol="0"/>
                    </wps:wsp>
                  </a:graphicData>
                </a:graphic>
                <wp14:sizeRelH relativeFrom="margin">
                  <wp14:pctWidth>0</wp14:pctWidth>
                </wp14:sizeRelH>
              </wp:anchor>
            </w:drawing>
          </mc:Choice>
          <mc:Fallback>
            <w:pict>
              <v:shape w14:anchorId="2F4671BA" id="object 4" o:spid="_x0000_s1026" style="position:absolute;margin-left:-2.65pt;margin-top:4.2pt;width:478.3pt;height:63.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756525,145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" path="m7755978,l,,,1454492r7755978,l7755978,xe" fillcolor="#1f4f74" strokecolor="#1f4f74">
                <v:path arrowok="t"/>
              </v:shape>
            </w:pict>
          </mc:Fallback>
        </mc:AlternateContent>
      </w:r>
      <w:r w:rsidRPr="00CE5A2C">
        <w:rPr>
          <w:b/>
          <w:bCs/>
          <w:noProof/>
          <w:sz w:val="24"/>
          <w:szCs w:val="24"/>
        </w:rPr>
        <mc:AlternateContent>
          <mc:Choice Requires="wps">
            <w:drawing>
              <wp:anchor distT="0" distB="0" distL="114300" distR="114300" simplePos="0" relativeHeight="251688960" behindDoc="0" locked="0" layoutInCell="1" allowOverlap="1" wp14:anchorId="2C561F07" wp14:editId="603B916C">
                <wp:simplePos x="0" y="0"/>
                <wp:positionH relativeFrom="column">
                  <wp:posOffset>331775</wp:posOffset>
                </wp:positionH>
                <wp:positionV relativeFrom="paragraph">
                  <wp:posOffset>15875</wp:posOffset>
                </wp:positionV>
                <wp:extent cx="6085840" cy="786130"/>
                <wp:effectExtent l="0" t="0" r="0" b="0"/>
                <wp:wrapNone/>
                <wp:docPr id="4" name="object 11">
                  <a:extLst xmlns:a="http://schemas.openxmlformats.org/drawingml/2006/main">
                    <a:ext uri="{FF2B5EF4-FFF2-40B4-BE49-F238E27FC236}">
                      <a16:creationId xmlns:a16="http://schemas.microsoft.com/office/drawing/2014/main" id="{A98F5D96-E050-4458-4AC5-BB3DC0D50DEF}"/>
                    </a:ext>
                  </a:extLst>
                </wp:docPr>
                <wp:cNvGraphicFramePr/>
                <a:graphic xmlns:a="http://schemas.openxmlformats.org/drawingml/2006/main">
                  <a:graphicData uri="http://schemas.microsoft.com/office/word/2010/wordprocessingShape">
                    <wps:wsp>
                      <wps:cNvSpPr txBox="1"/>
                      <wps:spPr>
                        <a:xfrm>
                          <a:off x="0" y="0"/>
                          <a:ext cx="6085840" cy="786130"/>
                        </a:xfrm>
                        <a:prstGeom prst="rect">
                          <a:avLst/>
                        </a:prstGeom>
                      </wps:spPr>
                      <wps:txbx>
                        <w:txbxContent>
                          <w:p w14:paraId="2C73AAE8" w14:textId="77777777" w:rsidR="00CE5A2C" w:rsidRPr="00B16D35" w:rsidRDefault="00CE5A2C" w:rsidP="00B16D35">
                            <w:pPr>
                              <w:spacing w:before="144" w:line="888" w:lineRule="exact"/>
                              <w:ind w:left="14" w:right="989"/>
                              <w:rPr>
                                <w:rFonts w:ascii="Amasis MT Pro Black" w:hAnsi="Amasis MT Pro Black" w:cs="Arial Narrow"/>
                                <w:b/>
                                <w:bCs/>
                                <w:color w:val="FFFFFF" w:themeColor="background1"/>
                                <w:kern w:val="24"/>
                                <w:sz w:val="44"/>
                                <w:szCs w:val="44"/>
                                <w14:ligatures w14:val="none"/>
                              </w:rPr>
                            </w:pPr>
                            <w:r w:rsidRPr="00B16D35">
                              <w:rPr>
                                <w:rFonts w:ascii="Amasis MT Pro Black" w:hAnsi="Amasis MT Pro Black" w:cs="Arial Narrow"/>
                                <w:b/>
                                <w:bCs/>
                                <w:color w:val="FFFFFF" w:themeColor="background1"/>
                                <w:kern w:val="24"/>
                                <w:sz w:val="44"/>
                                <w:szCs w:val="44"/>
                              </w:rPr>
                              <w:t>PRECONSUNTIVO PETROLIFERO 2024</w:t>
                            </w:r>
                          </w:p>
                        </w:txbxContent>
                      </wps:txbx>
                      <wps:bodyPr vert="horz" wrap="square" lIns="0" tIns="1651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561F07" id="_x0000_t202" coordsize="21600,21600" o:spt="202" path="m,l,21600r21600,l21600,xe">
                <v:stroke joinstyle="miter"/>
                <v:path gradientshapeok="t" o:connecttype="rect"/>
              </v:shapetype>
              <v:shape id="object 11" o:spid="_x0000_s1026" type="#_x0000_t202" style="position:absolute;margin-left:26.1pt;margin-top:1.25pt;width:479.2pt;height:6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" filled="f" stroked="f">
                <v:textbox inset="0,1.3pt,0,0">
                  <w:txbxContent>
                    <w:p w14:paraId="2C73AAE8" w14:textId="77777777" w:rsidR="00CE5A2C" w:rsidRPr="00B16D35" w:rsidRDefault="00CE5A2C" w:rsidP="00B16D35">
                      <w:pPr>
                        <w:spacing w:before="144" w:line="888" w:lineRule="exact"/>
                        <w:ind w:left="14" w:right="989"/>
                        <w:rPr>
                          <w:rFonts w:ascii="Amasis MT Pro Black" w:hAnsi="Amasis MT Pro Black" w:cs="Arial Narrow"/>
                          <w:b/>
                          <w:bCs/>
                          <w:color w:val="FFFFFF" w:themeColor="background1"/>
                          <w:kern w:val="24"/>
                          <w:sz w:val="44"/>
                          <w:szCs w:val="44"/>
                          <w14:ligatures w14:val="none"/>
                        </w:rPr>
                      </w:pPr>
                      <w:r w:rsidRPr="00B16D35">
                        <w:rPr>
                          <w:rFonts w:ascii="Amasis MT Pro Black" w:hAnsi="Amasis MT Pro Black" w:cs="Arial Narrow"/>
                          <w:b/>
                          <w:bCs/>
                          <w:color w:val="FFFFFF" w:themeColor="background1"/>
                          <w:kern w:val="24"/>
                          <w:sz w:val="44"/>
                          <w:szCs w:val="44"/>
                        </w:rPr>
                        <w:t>PRECONSUNTIVO PETROLIFERO 2024</w:t>
                      </w:r>
                    </w:p>
                  </w:txbxContent>
                </v:textbox>
              </v:shape>
            </w:pict>
          </mc:Fallback>
        </mc:AlternateContent>
      </w:r>
    </w:p>
    <w:p w14:paraId="41A17DF5" w14:textId="77777777" w:rsidR="00B16D35" w:rsidRPr="00B16D35" w:rsidRDefault="00B16D35" w:rsidP="00B16D35">
      <w:pPr>
        <w:rPr>
          <w:sz w:val="24"/>
          <w:szCs w:val="24"/>
        </w:rPr>
      </w:pPr>
    </w:p>
    <w:p w14:paraId="5D129496" w14:textId="2D937FC4" w:rsidR="00B16D35" w:rsidRPr="00B16D35" w:rsidRDefault="00B16D35" w:rsidP="00B16D35">
      <w:pPr>
        <w:rPr>
          <w:sz w:val="24"/>
          <w:szCs w:val="24"/>
        </w:rPr>
      </w:pPr>
      <w:r w:rsidRPr="00CE5A2C">
        <w:rPr>
          <w:b/>
          <w:bCs/>
          <w:noProof/>
          <w:sz w:val="24"/>
          <w:szCs w:val="24"/>
        </w:rPr>
        <mc:AlternateContent>
          <mc:Choice Requires="wps">
            <w:drawing>
              <wp:anchor distT="0" distB="0" distL="114300" distR="114300" simplePos="0" relativeHeight="251711488" behindDoc="0" locked="0" layoutInCell="1" allowOverlap="1" wp14:anchorId="02971FC1" wp14:editId="24DB7897">
                <wp:simplePos x="0" y="0"/>
                <wp:positionH relativeFrom="column">
                  <wp:posOffset>-628980</wp:posOffset>
                </wp:positionH>
                <wp:positionV relativeFrom="paragraph">
                  <wp:posOffset>260985</wp:posOffset>
                </wp:positionV>
                <wp:extent cx="7270115" cy="338455"/>
                <wp:effectExtent l="0" t="0" r="0" b="0"/>
                <wp:wrapNone/>
                <wp:docPr id="5" name="CasellaDiTesto 4">
                  <a:extLst xmlns:a="http://schemas.openxmlformats.org/drawingml/2006/main">
                    <a:ext uri="{FF2B5EF4-FFF2-40B4-BE49-F238E27FC236}">
                      <a16:creationId xmlns:a16="http://schemas.microsoft.com/office/drawing/2014/main" id="{3BFE790B-63E0-025B-B7AF-41894BCCD73B}"/>
                    </a:ext>
                  </a:extLst>
                </wp:docPr>
                <wp:cNvGraphicFramePr/>
                <a:graphic xmlns:a="http://schemas.openxmlformats.org/drawingml/2006/main">
                  <a:graphicData uri="http://schemas.microsoft.com/office/word/2010/wordprocessingShape">
                    <wps:wsp>
                      <wps:cNvSpPr txBox="1"/>
                      <wps:spPr>
                        <a:xfrm>
                          <a:off x="0" y="0"/>
                          <a:ext cx="7270115" cy="338455"/>
                        </a:xfrm>
                        <a:prstGeom prst="rect">
                          <a:avLst/>
                        </a:prstGeom>
                        <a:noFill/>
                      </wps:spPr>
                      <wps:txbx>
                        <w:txbxContent>
                          <w:p w14:paraId="6C70569A" w14:textId="77777777" w:rsidR="00CE5A2C" w:rsidRPr="00B16D35" w:rsidRDefault="00CE5A2C" w:rsidP="0011715C">
                            <w:pPr>
                              <w:jc w:val="center"/>
                              <w:rPr>
                                <w:rFonts w:ascii="Amasis MT Pro" w:hAnsi="Amasis MT Pro"/>
                                <w:b/>
                                <w:bCs/>
                                <w:color w:val="1F4F74"/>
                                <w:kern w:val="24"/>
                                <w:sz w:val="28"/>
                                <w:szCs w:val="28"/>
                                <w14:ligatures w14:val="none"/>
                              </w:rPr>
                            </w:pPr>
                            <w:r w:rsidRPr="00B16D35">
                              <w:rPr>
                                <w:rFonts w:ascii="Amasis MT Pro" w:hAnsi="Amasis MT Pro"/>
                                <w:b/>
                                <w:bCs/>
                                <w:color w:val="1F4F74"/>
                                <w:kern w:val="24"/>
                                <w:sz w:val="28"/>
                                <w:szCs w:val="28"/>
                              </w:rPr>
                              <w:t>Dati, numeri e tendenze dei mercati petroliferi internazionali e nazionali</w:t>
                            </w:r>
                          </w:p>
                        </w:txbxContent>
                      </wps:txbx>
                      <wps:bodyPr wrap="square" rtlCol="0">
                        <a:spAutoFit/>
                      </wps:bodyPr>
                    </wps:wsp>
                  </a:graphicData>
                </a:graphic>
              </wp:anchor>
            </w:drawing>
          </mc:Choice>
          <mc:Fallback>
            <w:pict>
              <v:shape w14:anchorId="02971FC1" id="CasellaDiTesto 4" o:spid="_x0000_s1027" type="#_x0000_t202" style="position:absolute;margin-left:-49.55pt;margin-top:20.55pt;width:572.45pt;height:26.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" filled="f" stroked="f">
                <v:textbox style="mso-fit-shape-to-text:t">
                  <w:txbxContent>
                    <w:p w14:paraId="6C70569A" w14:textId="77777777" w:rsidR="00CE5A2C" w:rsidRPr="00B16D35" w:rsidRDefault="00CE5A2C" w:rsidP="0011715C">
                      <w:pPr>
                        <w:jc w:val="center"/>
                        <w:rPr>
                          <w:rFonts w:ascii="Amasis MT Pro" w:hAnsi="Amasis MT Pro"/>
                          <w:b/>
                          <w:bCs/>
                          <w:color w:val="1F4F74"/>
                          <w:kern w:val="24"/>
                          <w:sz w:val="28"/>
                          <w:szCs w:val="28"/>
                          <w14:ligatures w14:val="none"/>
                        </w:rPr>
                      </w:pPr>
                      <w:r w:rsidRPr="00B16D35">
                        <w:rPr>
                          <w:rFonts w:ascii="Amasis MT Pro" w:hAnsi="Amasis MT Pro"/>
                          <w:b/>
                          <w:bCs/>
                          <w:color w:val="1F4F74"/>
                          <w:kern w:val="24"/>
                          <w:sz w:val="28"/>
                          <w:szCs w:val="28"/>
                        </w:rPr>
                        <w:t>Dati, numeri e tendenze dei mercati petroliferi internazionali e nazionali</w:t>
                      </w:r>
                    </w:p>
                  </w:txbxContent>
                </v:textbox>
              </v:shape>
            </w:pict>
          </mc:Fallback>
        </mc:AlternateContent>
      </w:r>
    </w:p>
    <w:p w14:paraId="68A4B9FC" w14:textId="6C4786CC" w:rsidR="00B16D35" w:rsidRPr="00B16D35" w:rsidRDefault="00B16D35" w:rsidP="00B16D35">
      <w:pPr>
        <w:rPr>
          <w:sz w:val="24"/>
          <w:szCs w:val="24"/>
        </w:rPr>
      </w:pPr>
    </w:p>
    <w:p w14:paraId="4E240136" w14:textId="141FF8AA" w:rsidR="00B16D35" w:rsidRPr="00B16D35" w:rsidRDefault="00B16D35" w:rsidP="00B16D35">
      <w:pPr>
        <w:rPr>
          <w:sz w:val="24"/>
          <w:szCs w:val="24"/>
        </w:rPr>
      </w:pPr>
    </w:p>
    <w:p w14:paraId="3D7E7949" w14:textId="77777777" w:rsidR="00B16D35" w:rsidRDefault="00B16D35" w:rsidP="00B16D35">
      <w:pPr>
        <w:rPr>
          <w:sz w:val="24"/>
          <w:szCs w:val="24"/>
        </w:rPr>
      </w:pPr>
    </w:p>
    <w:p w14:paraId="138AB92C" w14:textId="77777777" w:rsidR="00B16D35" w:rsidRDefault="00B16D35" w:rsidP="00B16D35">
      <w:pPr>
        <w:rPr>
          <w:sz w:val="24"/>
          <w:szCs w:val="24"/>
        </w:rPr>
      </w:pPr>
    </w:p>
    <w:p w14:paraId="191BF106" w14:textId="77777777" w:rsidR="00B16D35" w:rsidRDefault="00B16D35" w:rsidP="00B16D35">
      <w:pPr>
        <w:rPr>
          <w:sz w:val="24"/>
          <w:szCs w:val="24"/>
        </w:rPr>
      </w:pPr>
    </w:p>
    <w:p w14:paraId="1B39863D" w14:textId="77777777" w:rsidR="00B16D35" w:rsidRDefault="00B16D35" w:rsidP="00B16D35">
      <w:pPr>
        <w:rPr>
          <w:sz w:val="24"/>
          <w:szCs w:val="24"/>
        </w:rPr>
      </w:pPr>
    </w:p>
    <w:p w14:paraId="05A2E706" w14:textId="77777777" w:rsidR="00B16D35" w:rsidRDefault="00B16D35" w:rsidP="00B16D35">
      <w:pPr>
        <w:rPr>
          <w:sz w:val="24"/>
          <w:szCs w:val="24"/>
        </w:rPr>
      </w:pPr>
    </w:p>
    <w:p w14:paraId="7E7E2FDB" w14:textId="77777777" w:rsidR="00B16D35" w:rsidRDefault="00B16D35" w:rsidP="00B16D35">
      <w:pPr>
        <w:rPr>
          <w:sz w:val="24"/>
          <w:szCs w:val="24"/>
        </w:rPr>
      </w:pPr>
    </w:p>
    <w:p w14:paraId="5072F76B" w14:textId="77777777" w:rsidR="00B16D35" w:rsidRDefault="00B16D35" w:rsidP="00B16D35">
      <w:pPr>
        <w:rPr>
          <w:sz w:val="24"/>
          <w:szCs w:val="24"/>
        </w:rPr>
      </w:pPr>
    </w:p>
    <w:p w14:paraId="10A34E5F" w14:textId="77777777" w:rsidR="00B16D35" w:rsidRPr="00B16D35" w:rsidRDefault="00B16D35" w:rsidP="00B16D35">
      <w:pPr>
        <w:rPr>
          <w:sz w:val="24"/>
          <w:szCs w:val="24"/>
        </w:rPr>
      </w:pPr>
    </w:p>
    <w:p w14:paraId="69379FC6" w14:textId="17ED6242" w:rsidR="00B16D35" w:rsidRDefault="00B16D35" w:rsidP="00B16D35">
      <w:pPr>
        <w:rPr>
          <w:b/>
          <w:bCs/>
          <w:sz w:val="24"/>
          <w:szCs w:val="24"/>
        </w:rPr>
      </w:pPr>
    </w:p>
    <w:p w14:paraId="7BF5C890" w14:textId="77777777" w:rsidR="00B16D35" w:rsidRDefault="00B16D35" w:rsidP="00B16D35">
      <w:pPr>
        <w:rPr>
          <w:b/>
          <w:bCs/>
          <w:sz w:val="24"/>
          <w:szCs w:val="24"/>
        </w:rPr>
      </w:pPr>
    </w:p>
    <w:p w14:paraId="1B05CD26" w14:textId="07FAB567" w:rsidR="00B16D35" w:rsidRPr="00B16D35" w:rsidRDefault="00B16D35" w:rsidP="00B16D35">
      <w:pPr>
        <w:tabs>
          <w:tab w:val="center" w:pos="4819"/>
        </w:tabs>
        <w:rPr>
          <w:sz w:val="24"/>
          <w:szCs w:val="24"/>
        </w:rPr>
        <w:sectPr w:rsidR="00B16D35" w:rsidRPr="00B16D35" w:rsidSect="006D4C6E">
          <w:pgSz w:w="11906" w:h="16838"/>
          <w:pgMar w:top="1276" w:right="1134" w:bottom="0" w:left="1134" w:header="708" w:footer="708" w:gutter="0"/>
          <w:pgNumType w:start="0"/>
          <w:cols w:space="708"/>
          <w:titlePg/>
          <w:docGrid w:linePitch="360"/>
        </w:sectPr>
      </w:pPr>
      <w:r w:rsidRPr="00B16D35">
        <w:rPr>
          <w:b/>
          <w:bCs/>
          <w:noProof/>
          <w:sz w:val="24"/>
          <w:szCs w:val="24"/>
        </w:rPr>
        <w:drawing>
          <wp:inline distT="0" distB="0" distL="0" distR="0" wp14:anchorId="380DE219" wp14:editId="4D4FF1B1">
            <wp:extent cx="3847334" cy="1065670"/>
            <wp:effectExtent l="0" t="0" r="1270" b="1270"/>
            <wp:docPr id="320240915" name="Immagine 1" descr="Immagine che contiene testo, Carattere, logo, Elementi grafici&#10;&#10;Descrizione generata automaticamente">
              <a:extLst xmlns:a="http://schemas.openxmlformats.org/drawingml/2006/main">
                <a:ext uri="{FF2B5EF4-FFF2-40B4-BE49-F238E27FC236}">
                  <a16:creationId xmlns:a16="http://schemas.microsoft.com/office/drawing/2014/main" id="{61631399-EB1A-36CC-9937-BB8A57F18E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40915" name="Immagine 1" descr="Immagine che contiene testo, Carattere, logo, Elementi grafici&#10;&#10;Descrizione generata automaticamente">
                      <a:extLst>
                        <a:ext uri="{FF2B5EF4-FFF2-40B4-BE49-F238E27FC236}">
                          <a16:creationId xmlns:a16="http://schemas.microsoft.com/office/drawing/2014/main" id="{61631399-EB1A-36CC-9937-BB8A57F18E18}"/>
                        </a:ext>
                      </a:extLst>
                    </pic:cNvPr>
                    <pic:cNvPicPr>
                      <a:picLocks noChangeAspect="1"/>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3847334" cy="1065670"/>
                    </a:xfrm>
                    <a:prstGeom prst="rect">
                      <a:avLst/>
                    </a:prstGeom>
                  </pic:spPr>
                </pic:pic>
              </a:graphicData>
            </a:graphic>
          </wp:inline>
        </w:drawing>
      </w:r>
      <w:r>
        <w:rPr>
          <w:sz w:val="24"/>
          <w:szCs w:val="24"/>
        </w:rPr>
        <w:tab/>
      </w:r>
    </w:p>
    <w:p w14:paraId="7D853FFB" w14:textId="77777777" w:rsidR="001E6F2F" w:rsidRDefault="001E6F2F" w:rsidP="00B975D7">
      <w:pPr>
        <w:ind w:left="-567" w:right="-1"/>
        <w:jc w:val="center"/>
        <w:rPr>
          <w:b/>
          <w:bCs/>
          <w:color w:val="0070C0"/>
          <w:sz w:val="28"/>
          <w:szCs w:val="28"/>
        </w:rPr>
        <w:sectPr w:rsidR="001E6F2F" w:rsidSect="00F0003E">
          <w:footerReference w:type="default" r:id="rId10"/>
          <w:type w:val="continuous"/>
          <w:pgSz w:w="11906" w:h="16838"/>
          <w:pgMar w:top="1276" w:right="1134" w:bottom="1843" w:left="1134" w:header="708" w:footer="0" w:gutter="0"/>
          <w:pgNumType w:start="1"/>
          <w:cols w:space="708"/>
          <w:docGrid w:linePitch="360"/>
        </w:sectPr>
      </w:pPr>
    </w:p>
    <w:p w14:paraId="719458C0" w14:textId="7451FB98" w:rsidR="00501257" w:rsidRPr="00B975D7" w:rsidRDefault="001E6F2F" w:rsidP="00B975D7">
      <w:pPr>
        <w:ind w:left="-567" w:right="-1"/>
        <w:jc w:val="center"/>
        <w:rPr>
          <w:b/>
          <w:bCs/>
          <w:color w:val="0070C0"/>
          <w:sz w:val="32"/>
          <w:szCs w:val="32"/>
        </w:rPr>
      </w:pPr>
      <w:r>
        <w:rPr>
          <w:b/>
          <w:bCs/>
          <w:noProof/>
          <w:color w:val="0070C0"/>
          <w:sz w:val="28"/>
          <w:szCs w:val="28"/>
        </w:rPr>
        <w:lastRenderedPageBreak/>
        <mc:AlternateContent>
          <mc:Choice Requires="wps">
            <w:drawing>
              <wp:anchor distT="0" distB="0" distL="114300" distR="114300" simplePos="0" relativeHeight="251780096" behindDoc="0" locked="0" layoutInCell="1" allowOverlap="1" wp14:anchorId="63EB0B74" wp14:editId="79FC391F">
                <wp:simplePos x="0" y="0"/>
                <wp:positionH relativeFrom="column">
                  <wp:posOffset>43235</wp:posOffset>
                </wp:positionH>
                <wp:positionV relativeFrom="paragraph">
                  <wp:posOffset>-237766</wp:posOffset>
                </wp:positionV>
                <wp:extent cx="6026785" cy="7513983"/>
                <wp:effectExtent l="0" t="0" r="12065" b="10795"/>
                <wp:wrapNone/>
                <wp:docPr id="1446046282" name="Rettangolo 28"/>
                <wp:cNvGraphicFramePr/>
                <a:graphic xmlns:a="http://schemas.openxmlformats.org/drawingml/2006/main">
                  <a:graphicData uri="http://schemas.microsoft.com/office/word/2010/wordprocessingShape">
                    <wps:wsp>
                      <wps:cNvSpPr/>
                      <wps:spPr>
                        <a:xfrm>
                          <a:off x="0" y="0"/>
                          <a:ext cx="6026785" cy="751398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F549" id="Rettangolo 28" o:spid="_x0000_s1026" style="position:absolute;margin-left:3.4pt;margin-top:-18.7pt;width:474.55pt;height:59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" filled="f" strokecolor="black [3213]" strokeweight="1pt"/>
            </w:pict>
          </mc:Fallback>
        </mc:AlternateContent>
      </w:r>
      <w:r w:rsidR="00501257" w:rsidRPr="00B975D7">
        <w:rPr>
          <w:b/>
          <w:bCs/>
          <w:color w:val="0070C0"/>
          <w:sz w:val="32"/>
          <w:szCs w:val="32"/>
        </w:rPr>
        <w:t>HIGHLI</w:t>
      </w:r>
      <w:r w:rsidR="00314109">
        <w:rPr>
          <w:b/>
          <w:bCs/>
          <w:color w:val="0070C0"/>
          <w:sz w:val="32"/>
          <w:szCs w:val="32"/>
        </w:rPr>
        <w:t>G</w:t>
      </w:r>
      <w:r w:rsidR="00501257" w:rsidRPr="00B975D7">
        <w:rPr>
          <w:b/>
          <w:bCs/>
          <w:color w:val="0070C0"/>
          <w:sz w:val="32"/>
          <w:szCs w:val="32"/>
        </w:rPr>
        <w:t>HTS</w:t>
      </w:r>
    </w:p>
    <w:p w14:paraId="69FD51DB" w14:textId="3CF98A41" w:rsidR="00436553" w:rsidRPr="006B7734" w:rsidRDefault="00436553" w:rsidP="00B975D7">
      <w:pPr>
        <w:ind w:left="567" w:right="1133"/>
        <w:jc w:val="center"/>
        <w:rPr>
          <w:sz w:val="24"/>
          <w:szCs w:val="24"/>
        </w:rPr>
      </w:pPr>
      <w:r w:rsidRPr="006B7734">
        <w:rPr>
          <w:sz w:val="24"/>
          <w:szCs w:val="24"/>
        </w:rPr>
        <w:t>Nel 2024 la</w:t>
      </w:r>
      <w:r w:rsidR="00501257" w:rsidRPr="006B7734">
        <w:rPr>
          <w:sz w:val="24"/>
          <w:szCs w:val="24"/>
        </w:rPr>
        <w:t xml:space="preserve"> </w:t>
      </w:r>
      <w:r w:rsidR="00501257" w:rsidRPr="006B7734">
        <w:rPr>
          <w:b/>
          <w:bCs/>
          <w:sz w:val="24"/>
          <w:szCs w:val="24"/>
        </w:rPr>
        <w:t xml:space="preserve">domanda di petrolio </w:t>
      </w:r>
      <w:r w:rsidR="00501257" w:rsidRPr="006B7734">
        <w:rPr>
          <w:sz w:val="24"/>
          <w:szCs w:val="24"/>
        </w:rPr>
        <w:t>è stata pari a 102,8 milioni b/g, ovvero 0,9 milioni b/g in più rispetto al 2023</w:t>
      </w:r>
      <w:r w:rsidRPr="006B7734">
        <w:rPr>
          <w:sz w:val="24"/>
          <w:szCs w:val="24"/>
        </w:rPr>
        <w:t>,</w:t>
      </w:r>
      <w:r w:rsidR="00501257" w:rsidRPr="006B7734">
        <w:rPr>
          <w:sz w:val="24"/>
          <w:szCs w:val="24"/>
        </w:rPr>
        <w:t xml:space="preserve"> </w:t>
      </w:r>
      <w:r w:rsidR="00B975D7" w:rsidRPr="006B7734">
        <w:rPr>
          <w:sz w:val="24"/>
          <w:szCs w:val="24"/>
        </w:rPr>
        <w:t xml:space="preserve">un rallentamento rispetto </w:t>
      </w:r>
      <w:r w:rsidR="00501257" w:rsidRPr="006B7734">
        <w:rPr>
          <w:sz w:val="24"/>
          <w:szCs w:val="24"/>
        </w:rPr>
        <w:t>2,1 milioni dell’anno precedente</w:t>
      </w:r>
      <w:r w:rsidR="0011206C">
        <w:rPr>
          <w:sz w:val="24"/>
          <w:szCs w:val="24"/>
        </w:rPr>
        <w:t>,</w:t>
      </w:r>
      <w:r w:rsidR="00E56D05">
        <w:rPr>
          <w:sz w:val="24"/>
          <w:szCs w:val="24"/>
        </w:rPr>
        <w:t xml:space="preserve"> ma</w:t>
      </w:r>
      <w:r w:rsidR="0011206C">
        <w:rPr>
          <w:sz w:val="24"/>
          <w:szCs w:val="24"/>
        </w:rPr>
        <w:t xml:space="preserve"> </w:t>
      </w:r>
      <w:r w:rsidR="00B975D7" w:rsidRPr="006B7734">
        <w:rPr>
          <w:sz w:val="24"/>
          <w:szCs w:val="24"/>
        </w:rPr>
        <w:t xml:space="preserve">comunque </w:t>
      </w:r>
      <w:r w:rsidRPr="006B7734">
        <w:rPr>
          <w:sz w:val="24"/>
          <w:szCs w:val="24"/>
        </w:rPr>
        <w:t xml:space="preserve">in linea con la media degli ultimi 10 anni. </w:t>
      </w:r>
    </w:p>
    <w:p w14:paraId="76F091CC" w14:textId="499B455B" w:rsidR="00501257" w:rsidRPr="006B7734" w:rsidRDefault="00B975D7" w:rsidP="00B975D7">
      <w:pPr>
        <w:ind w:left="567" w:right="1133"/>
        <w:jc w:val="center"/>
        <w:rPr>
          <w:sz w:val="24"/>
          <w:szCs w:val="24"/>
        </w:rPr>
      </w:pPr>
      <w:r w:rsidRPr="006B7734">
        <w:rPr>
          <w:sz w:val="24"/>
          <w:szCs w:val="24"/>
        </w:rPr>
        <w:t>Frenata per la</w:t>
      </w:r>
      <w:r w:rsidR="00436553" w:rsidRPr="006B7734">
        <w:rPr>
          <w:sz w:val="24"/>
          <w:szCs w:val="24"/>
        </w:rPr>
        <w:t xml:space="preserve"> </w:t>
      </w:r>
      <w:r w:rsidR="00436553" w:rsidRPr="006B7734">
        <w:rPr>
          <w:b/>
          <w:bCs/>
          <w:sz w:val="24"/>
          <w:szCs w:val="24"/>
        </w:rPr>
        <w:t xml:space="preserve">Cina </w:t>
      </w:r>
      <w:r w:rsidRPr="006B7734">
        <w:rPr>
          <w:b/>
          <w:bCs/>
          <w:sz w:val="24"/>
          <w:szCs w:val="24"/>
        </w:rPr>
        <w:t xml:space="preserve">che </w:t>
      </w:r>
      <w:r w:rsidR="00436553" w:rsidRPr="006B7734">
        <w:rPr>
          <w:b/>
          <w:bCs/>
          <w:sz w:val="24"/>
          <w:szCs w:val="24"/>
        </w:rPr>
        <w:t>ha contribuito solo per il 14%</w:t>
      </w:r>
      <w:r w:rsidR="00436553" w:rsidRPr="006B7734">
        <w:rPr>
          <w:sz w:val="24"/>
          <w:szCs w:val="24"/>
        </w:rPr>
        <w:t xml:space="preserve"> </w:t>
      </w:r>
      <w:r w:rsidR="00E82C9B" w:rsidRPr="006B7734">
        <w:rPr>
          <w:sz w:val="24"/>
          <w:szCs w:val="24"/>
        </w:rPr>
        <w:t>a</w:t>
      </w:r>
      <w:r w:rsidR="00436553" w:rsidRPr="006B7734">
        <w:rPr>
          <w:sz w:val="24"/>
          <w:szCs w:val="24"/>
        </w:rPr>
        <w:t>ll’incremento totale rispetto al 67% del 2023, compensato da Africa, Medio Oriente, America del Sud e dagli altri Paesi asiatici.</w:t>
      </w:r>
    </w:p>
    <w:p w14:paraId="4C746FB9" w14:textId="70F24084" w:rsidR="00436553" w:rsidRPr="006B7734" w:rsidRDefault="00436553" w:rsidP="00B975D7">
      <w:pPr>
        <w:ind w:left="567" w:right="1133"/>
        <w:jc w:val="center"/>
        <w:rPr>
          <w:sz w:val="24"/>
          <w:szCs w:val="24"/>
        </w:rPr>
      </w:pPr>
      <w:r w:rsidRPr="006B7734">
        <w:rPr>
          <w:sz w:val="24"/>
          <w:szCs w:val="24"/>
        </w:rPr>
        <w:t xml:space="preserve">Nel periodo </w:t>
      </w:r>
      <w:r w:rsidRPr="006B7734">
        <w:rPr>
          <w:b/>
          <w:bCs/>
          <w:sz w:val="24"/>
          <w:szCs w:val="24"/>
        </w:rPr>
        <w:t>2000-2024 la crescita della domanda</w:t>
      </w:r>
      <w:r w:rsidRPr="006B7734">
        <w:rPr>
          <w:sz w:val="24"/>
          <w:szCs w:val="24"/>
        </w:rPr>
        <w:t xml:space="preserve"> è stata di 25,6 milioni b/g, quale saldo tra il calo di 2,9 milioni b/g dei Paesi Ocse e l’aumento di 28,5 milioni per quelli non-Ocse.</w:t>
      </w:r>
    </w:p>
    <w:p w14:paraId="7EADFBB7" w14:textId="4C39B076" w:rsidR="000D0027" w:rsidRPr="006B7734" w:rsidRDefault="00436553" w:rsidP="00E82C9B">
      <w:pPr>
        <w:ind w:left="567" w:right="1134"/>
        <w:contextualSpacing/>
        <w:jc w:val="center"/>
        <w:rPr>
          <w:i/>
          <w:iCs/>
          <w:sz w:val="24"/>
          <w:szCs w:val="24"/>
        </w:rPr>
      </w:pPr>
      <w:r w:rsidRPr="006B7734">
        <w:rPr>
          <w:sz w:val="24"/>
          <w:szCs w:val="24"/>
        </w:rPr>
        <w:t xml:space="preserve">Nel 2024 </w:t>
      </w:r>
      <w:r w:rsidRPr="006B7734">
        <w:rPr>
          <w:b/>
          <w:bCs/>
          <w:sz w:val="24"/>
          <w:szCs w:val="24"/>
        </w:rPr>
        <w:t>l’offerta di petrolio</w:t>
      </w:r>
      <w:r w:rsidRPr="006B7734">
        <w:rPr>
          <w:sz w:val="24"/>
          <w:szCs w:val="24"/>
        </w:rPr>
        <w:t xml:space="preserve"> è stata pari</w:t>
      </w:r>
      <w:r w:rsidR="000D0027" w:rsidRPr="006B7734">
        <w:rPr>
          <w:sz w:val="24"/>
          <w:szCs w:val="24"/>
        </w:rPr>
        <w:t xml:space="preserve"> a 102,9 milioni b/g, </w:t>
      </w:r>
      <w:r w:rsidR="00120E51" w:rsidRPr="006B7734">
        <w:rPr>
          <w:sz w:val="24"/>
          <w:szCs w:val="24"/>
        </w:rPr>
        <w:t xml:space="preserve">solo </w:t>
      </w:r>
      <w:r w:rsidR="000D0027" w:rsidRPr="006B7734">
        <w:rPr>
          <w:sz w:val="24"/>
          <w:szCs w:val="24"/>
        </w:rPr>
        <w:t>600.000 b/g in più del 2023</w:t>
      </w:r>
      <w:r w:rsidR="00B975D7" w:rsidRPr="006B7734">
        <w:rPr>
          <w:sz w:val="24"/>
          <w:szCs w:val="24"/>
        </w:rPr>
        <w:t xml:space="preserve">, </w:t>
      </w:r>
      <w:r w:rsidR="000D0027" w:rsidRPr="006B7734">
        <w:rPr>
          <w:sz w:val="24"/>
          <w:szCs w:val="24"/>
        </w:rPr>
        <w:t xml:space="preserve">effetto </w:t>
      </w:r>
      <w:r w:rsidR="001407C4">
        <w:rPr>
          <w:sz w:val="24"/>
          <w:szCs w:val="24"/>
        </w:rPr>
        <w:t>della</w:t>
      </w:r>
      <w:r w:rsidR="000D0027" w:rsidRPr="006B7734">
        <w:rPr>
          <w:sz w:val="24"/>
          <w:szCs w:val="24"/>
        </w:rPr>
        <w:t xml:space="preserve"> gestione dei tagli</w:t>
      </w:r>
      <w:r w:rsidR="00E82C9B" w:rsidRPr="006B7734">
        <w:rPr>
          <w:sz w:val="24"/>
          <w:szCs w:val="24"/>
        </w:rPr>
        <w:t xml:space="preserve"> </w:t>
      </w:r>
      <w:r w:rsidR="000D0027" w:rsidRPr="006B7734">
        <w:rPr>
          <w:sz w:val="24"/>
          <w:szCs w:val="24"/>
        </w:rPr>
        <w:t>da parte dei Paesi Opec Plus</w:t>
      </w:r>
      <w:r w:rsidR="00E82C9B" w:rsidRPr="006B7734">
        <w:rPr>
          <w:sz w:val="24"/>
          <w:szCs w:val="24"/>
        </w:rPr>
        <w:t>, confermati in parte fino a</w:t>
      </w:r>
      <w:r w:rsidR="001407C4">
        <w:rPr>
          <w:sz w:val="24"/>
          <w:szCs w:val="24"/>
        </w:rPr>
        <w:t xml:space="preserve"> </w:t>
      </w:r>
      <w:r w:rsidR="00E82C9B" w:rsidRPr="006B7734">
        <w:rPr>
          <w:sz w:val="24"/>
          <w:szCs w:val="24"/>
        </w:rPr>
        <w:t xml:space="preserve">dicembre 2026, </w:t>
      </w:r>
      <w:r w:rsidR="00B975D7" w:rsidRPr="006B7734">
        <w:rPr>
          <w:sz w:val="24"/>
          <w:szCs w:val="24"/>
        </w:rPr>
        <w:t>rispetto all</w:t>
      </w:r>
      <w:r w:rsidR="00120E51" w:rsidRPr="006B7734">
        <w:rPr>
          <w:sz w:val="24"/>
          <w:szCs w:val="24"/>
        </w:rPr>
        <w:t>’evoluzione della</w:t>
      </w:r>
      <w:r w:rsidR="00B975D7" w:rsidRPr="006B7734">
        <w:rPr>
          <w:sz w:val="24"/>
          <w:szCs w:val="24"/>
        </w:rPr>
        <w:t xml:space="preserve"> domanda.</w:t>
      </w:r>
      <w:r w:rsidR="00E82C9B" w:rsidRPr="006B7734">
        <w:rPr>
          <w:i/>
          <w:iCs/>
          <w:sz w:val="24"/>
          <w:szCs w:val="24"/>
        </w:rPr>
        <w:t xml:space="preserve"> </w:t>
      </w:r>
      <w:r w:rsidR="00B975D7" w:rsidRPr="006B7734">
        <w:rPr>
          <w:i/>
          <w:iCs/>
          <w:sz w:val="24"/>
          <w:szCs w:val="24"/>
        </w:rPr>
        <w:t>S</w:t>
      </w:r>
      <w:r w:rsidR="000D0027" w:rsidRPr="006B7734">
        <w:rPr>
          <w:i/>
          <w:iCs/>
          <w:sz w:val="24"/>
          <w:szCs w:val="24"/>
        </w:rPr>
        <w:t>pare capacity</w:t>
      </w:r>
      <w:r w:rsidR="000D0027" w:rsidRPr="006B7734">
        <w:rPr>
          <w:sz w:val="24"/>
          <w:szCs w:val="24"/>
        </w:rPr>
        <w:t xml:space="preserve"> </w:t>
      </w:r>
      <w:r w:rsidR="00B975D7" w:rsidRPr="006B7734">
        <w:rPr>
          <w:sz w:val="24"/>
          <w:szCs w:val="24"/>
        </w:rPr>
        <w:t>cresciuta fino</w:t>
      </w:r>
      <w:r w:rsidR="000D0027" w:rsidRPr="006B7734">
        <w:rPr>
          <w:sz w:val="24"/>
          <w:szCs w:val="24"/>
        </w:rPr>
        <w:t xml:space="preserve"> a 6 milioni b/g.  </w:t>
      </w:r>
    </w:p>
    <w:p w14:paraId="2F8A1A27" w14:textId="77777777" w:rsidR="00B975D7" w:rsidRPr="006B7734" w:rsidRDefault="00B975D7" w:rsidP="00B975D7">
      <w:pPr>
        <w:ind w:left="567" w:right="1134"/>
        <w:contextualSpacing/>
        <w:jc w:val="center"/>
        <w:rPr>
          <w:sz w:val="24"/>
          <w:szCs w:val="24"/>
        </w:rPr>
      </w:pPr>
    </w:p>
    <w:p w14:paraId="72FB78BA" w14:textId="03D4F5B5" w:rsidR="000D0027" w:rsidRPr="006B7734" w:rsidRDefault="00820735" w:rsidP="00B975D7">
      <w:pPr>
        <w:ind w:left="567" w:right="1133"/>
        <w:jc w:val="center"/>
        <w:rPr>
          <w:sz w:val="24"/>
          <w:szCs w:val="24"/>
        </w:rPr>
      </w:pPr>
      <w:r w:rsidRPr="006B7734">
        <w:rPr>
          <w:b/>
          <w:bCs/>
          <w:sz w:val="24"/>
          <w:szCs w:val="24"/>
        </w:rPr>
        <w:t>S</w:t>
      </w:r>
      <w:r w:rsidR="000D0027" w:rsidRPr="006B7734">
        <w:rPr>
          <w:b/>
          <w:bCs/>
          <w:sz w:val="24"/>
          <w:szCs w:val="24"/>
        </w:rPr>
        <w:t>tati Uniti</w:t>
      </w:r>
      <w:r w:rsidRPr="006B7734">
        <w:rPr>
          <w:b/>
          <w:bCs/>
          <w:sz w:val="24"/>
          <w:szCs w:val="24"/>
        </w:rPr>
        <w:t xml:space="preserve"> sempre più</w:t>
      </w:r>
      <w:r w:rsidR="000D0027" w:rsidRPr="006B7734">
        <w:rPr>
          <w:b/>
          <w:bCs/>
          <w:sz w:val="24"/>
          <w:szCs w:val="24"/>
        </w:rPr>
        <w:t xml:space="preserve"> protagonisti del mercato</w:t>
      </w:r>
      <w:r w:rsidRPr="006B7734">
        <w:rPr>
          <w:sz w:val="24"/>
          <w:szCs w:val="24"/>
        </w:rPr>
        <w:t>,</w:t>
      </w:r>
      <w:r w:rsidR="000D0027" w:rsidRPr="006B7734">
        <w:rPr>
          <w:sz w:val="24"/>
          <w:szCs w:val="24"/>
        </w:rPr>
        <w:t xml:space="preserve"> con una </w:t>
      </w:r>
      <w:r w:rsidRPr="006B7734">
        <w:rPr>
          <w:sz w:val="24"/>
          <w:szCs w:val="24"/>
        </w:rPr>
        <w:t>produzione superiore a quella di Arabia Saudita e Russia messe insieme.</w:t>
      </w:r>
    </w:p>
    <w:p w14:paraId="0F7B281B" w14:textId="37E4F2C6" w:rsidR="00B975D7" w:rsidRPr="006B7734" w:rsidRDefault="00820735" w:rsidP="00B975D7">
      <w:pPr>
        <w:ind w:left="567" w:right="1133"/>
        <w:jc w:val="center"/>
        <w:rPr>
          <w:sz w:val="24"/>
          <w:szCs w:val="24"/>
        </w:rPr>
      </w:pPr>
      <w:r w:rsidRPr="006B7734">
        <w:rPr>
          <w:sz w:val="24"/>
          <w:szCs w:val="24"/>
        </w:rPr>
        <w:t xml:space="preserve">I </w:t>
      </w:r>
      <w:r w:rsidRPr="006B7734">
        <w:rPr>
          <w:b/>
          <w:bCs/>
          <w:sz w:val="24"/>
          <w:szCs w:val="24"/>
        </w:rPr>
        <w:t>prezzi del petrolio</w:t>
      </w:r>
      <w:r w:rsidRPr="006B7734">
        <w:rPr>
          <w:sz w:val="24"/>
          <w:szCs w:val="24"/>
        </w:rPr>
        <w:t xml:space="preserve"> </w:t>
      </w:r>
      <w:r w:rsidR="0077659A" w:rsidRPr="006B7734">
        <w:rPr>
          <w:sz w:val="24"/>
          <w:szCs w:val="24"/>
        </w:rPr>
        <w:t xml:space="preserve">nel corso dell’anno </w:t>
      </w:r>
      <w:r w:rsidR="00E82C9B" w:rsidRPr="006B7734">
        <w:rPr>
          <w:sz w:val="24"/>
          <w:szCs w:val="24"/>
        </w:rPr>
        <w:t xml:space="preserve">hanno risentito </w:t>
      </w:r>
      <w:r w:rsidR="006B7734">
        <w:rPr>
          <w:sz w:val="24"/>
          <w:szCs w:val="24"/>
        </w:rPr>
        <w:t>solo in parte</w:t>
      </w:r>
      <w:r w:rsidR="0077659A" w:rsidRPr="006B7734">
        <w:rPr>
          <w:sz w:val="24"/>
          <w:szCs w:val="24"/>
        </w:rPr>
        <w:t xml:space="preserve"> delle</w:t>
      </w:r>
      <w:r w:rsidRPr="006B7734">
        <w:rPr>
          <w:sz w:val="24"/>
          <w:szCs w:val="24"/>
        </w:rPr>
        <w:t xml:space="preserve"> </w:t>
      </w:r>
      <w:r w:rsidR="0077659A" w:rsidRPr="006B7734">
        <w:rPr>
          <w:sz w:val="24"/>
          <w:szCs w:val="24"/>
        </w:rPr>
        <w:t xml:space="preserve">molteplici criticità in aree decisive come Medio Oriente e Mar Rosso, oscillando </w:t>
      </w:r>
      <w:r w:rsidRPr="006B7734">
        <w:rPr>
          <w:sz w:val="24"/>
          <w:szCs w:val="24"/>
        </w:rPr>
        <w:t>nella forchetta 70-90 dollari/barile</w:t>
      </w:r>
      <w:r w:rsidR="00B975D7" w:rsidRPr="006B7734">
        <w:rPr>
          <w:sz w:val="24"/>
          <w:szCs w:val="24"/>
        </w:rPr>
        <w:t xml:space="preserve">. </w:t>
      </w:r>
    </w:p>
    <w:p w14:paraId="20E78142" w14:textId="25427139" w:rsidR="00820735" w:rsidRPr="006B7734" w:rsidRDefault="00120E51" w:rsidP="00B975D7">
      <w:pPr>
        <w:ind w:left="567" w:right="1133"/>
        <w:jc w:val="center"/>
        <w:rPr>
          <w:sz w:val="24"/>
          <w:szCs w:val="24"/>
        </w:rPr>
      </w:pPr>
      <w:r w:rsidRPr="006B7734">
        <w:rPr>
          <w:b/>
          <w:bCs/>
          <w:sz w:val="24"/>
          <w:szCs w:val="24"/>
        </w:rPr>
        <w:t>Brent in m</w:t>
      </w:r>
      <w:r w:rsidR="00820735" w:rsidRPr="006B7734">
        <w:rPr>
          <w:b/>
          <w:bCs/>
          <w:sz w:val="24"/>
          <w:szCs w:val="24"/>
        </w:rPr>
        <w:t xml:space="preserve">edia </w:t>
      </w:r>
      <w:r w:rsidR="00B975D7" w:rsidRPr="006B7734">
        <w:rPr>
          <w:b/>
          <w:bCs/>
          <w:sz w:val="24"/>
          <w:szCs w:val="24"/>
        </w:rPr>
        <w:t>annua</w:t>
      </w:r>
      <w:r w:rsidR="00B975D7" w:rsidRPr="006B7734">
        <w:rPr>
          <w:sz w:val="24"/>
          <w:szCs w:val="24"/>
        </w:rPr>
        <w:t xml:space="preserve"> </w:t>
      </w:r>
      <w:r w:rsidRPr="006B7734">
        <w:rPr>
          <w:sz w:val="24"/>
          <w:szCs w:val="24"/>
        </w:rPr>
        <w:t>a</w:t>
      </w:r>
      <w:r w:rsidR="00820735" w:rsidRPr="006B7734">
        <w:rPr>
          <w:sz w:val="24"/>
          <w:szCs w:val="24"/>
        </w:rPr>
        <w:t xml:space="preserve"> circa 8</w:t>
      </w:r>
      <w:r w:rsidR="00E82A93">
        <w:rPr>
          <w:sz w:val="24"/>
          <w:szCs w:val="24"/>
        </w:rPr>
        <w:t>0</w:t>
      </w:r>
      <w:r w:rsidR="00820735" w:rsidRPr="006B7734">
        <w:rPr>
          <w:sz w:val="24"/>
          <w:szCs w:val="24"/>
        </w:rPr>
        <w:t xml:space="preserve"> dollari/barile, molto vicin</w:t>
      </w:r>
      <w:r w:rsidR="001407C4">
        <w:rPr>
          <w:sz w:val="24"/>
          <w:szCs w:val="24"/>
        </w:rPr>
        <w:t>i</w:t>
      </w:r>
      <w:r w:rsidR="00820735" w:rsidRPr="006B7734">
        <w:rPr>
          <w:sz w:val="24"/>
          <w:szCs w:val="24"/>
        </w:rPr>
        <w:t xml:space="preserve"> ai valori del 2023, ma inferiore di circa 19% rispetto al 2022 che fece registrare i picchi massimi dell’ultimo decennio.</w:t>
      </w:r>
    </w:p>
    <w:p w14:paraId="11C11B5E" w14:textId="1790B115" w:rsidR="00820735" w:rsidRPr="006B7734" w:rsidRDefault="00820735" w:rsidP="00B975D7">
      <w:pPr>
        <w:ind w:left="567" w:right="1133"/>
        <w:jc w:val="center"/>
        <w:rPr>
          <w:sz w:val="24"/>
          <w:szCs w:val="24"/>
        </w:rPr>
      </w:pPr>
      <w:r w:rsidRPr="006B7734">
        <w:rPr>
          <w:b/>
          <w:bCs/>
          <w:sz w:val="24"/>
          <w:szCs w:val="24"/>
        </w:rPr>
        <w:t>Investimenti</w:t>
      </w:r>
      <w:r w:rsidR="00B4282C" w:rsidRPr="006B7734">
        <w:rPr>
          <w:b/>
          <w:bCs/>
          <w:sz w:val="24"/>
          <w:szCs w:val="24"/>
        </w:rPr>
        <w:t xml:space="preserve"> upstream O&amp;G</w:t>
      </w:r>
      <w:r w:rsidRPr="006B7734">
        <w:rPr>
          <w:sz w:val="24"/>
          <w:szCs w:val="24"/>
        </w:rPr>
        <w:t xml:space="preserve"> in aumento del 7% rispetto al 2023 e del 17% al 2022. Centrale il ruolo delle NOC (National Oil Company)</w:t>
      </w:r>
      <w:r w:rsidR="00B975D7" w:rsidRPr="006B7734">
        <w:rPr>
          <w:sz w:val="24"/>
          <w:szCs w:val="24"/>
        </w:rPr>
        <w:t xml:space="preserve"> che hanno coperto oltre il 40% del totale rispetto al 25% di dieci anni fa.</w:t>
      </w:r>
    </w:p>
    <w:p w14:paraId="5F0A579C" w14:textId="5C285AEA" w:rsidR="00820735" w:rsidRPr="006B7734" w:rsidRDefault="002961C1" w:rsidP="00B975D7">
      <w:pPr>
        <w:ind w:left="567" w:right="1133"/>
        <w:jc w:val="center"/>
        <w:rPr>
          <w:sz w:val="24"/>
          <w:szCs w:val="24"/>
        </w:rPr>
      </w:pPr>
      <w:r w:rsidRPr="006B7734">
        <w:rPr>
          <w:iCs/>
          <w:sz w:val="24"/>
          <w:szCs w:val="24"/>
        </w:rPr>
        <w:t>In</w:t>
      </w:r>
      <w:r w:rsidRPr="006B7734">
        <w:rPr>
          <w:sz w:val="24"/>
          <w:szCs w:val="24"/>
        </w:rPr>
        <w:t xml:space="preserve"> </w:t>
      </w:r>
      <w:r w:rsidR="00820735" w:rsidRPr="006B7734">
        <w:rPr>
          <w:sz w:val="24"/>
          <w:szCs w:val="24"/>
        </w:rPr>
        <w:t>crescita anche gli investimenti in</w:t>
      </w:r>
      <w:r w:rsidR="00820735" w:rsidRPr="006B7734">
        <w:rPr>
          <w:b/>
          <w:bCs/>
          <w:sz w:val="24"/>
          <w:szCs w:val="24"/>
        </w:rPr>
        <w:t xml:space="preserve"> clean energy</w:t>
      </w:r>
      <w:r w:rsidR="00820735" w:rsidRPr="006B7734">
        <w:rPr>
          <w:sz w:val="24"/>
          <w:szCs w:val="24"/>
        </w:rPr>
        <w:t xml:space="preserve"> che hanno rappresentato i due terzi del totale</w:t>
      </w:r>
      <w:r w:rsidR="0077659A" w:rsidRPr="006B7734">
        <w:rPr>
          <w:sz w:val="24"/>
          <w:szCs w:val="24"/>
        </w:rPr>
        <w:t xml:space="preserve"> investito </w:t>
      </w:r>
      <w:r w:rsidR="00B4282C" w:rsidRPr="006B7734">
        <w:rPr>
          <w:sz w:val="24"/>
          <w:szCs w:val="24"/>
        </w:rPr>
        <w:t>nell’energia</w:t>
      </w:r>
      <w:r w:rsidR="001407C4">
        <w:rPr>
          <w:sz w:val="24"/>
          <w:szCs w:val="24"/>
        </w:rPr>
        <w:t>,</w:t>
      </w:r>
      <w:r w:rsidR="00E56D05">
        <w:rPr>
          <w:sz w:val="24"/>
          <w:szCs w:val="24"/>
        </w:rPr>
        <w:t xml:space="preserve"> inclusi</w:t>
      </w:r>
      <w:r w:rsidR="00B975D7" w:rsidRPr="006B7734">
        <w:rPr>
          <w:sz w:val="24"/>
          <w:szCs w:val="24"/>
        </w:rPr>
        <w:t xml:space="preserve"> i </w:t>
      </w:r>
      <w:r w:rsidR="00B975D7" w:rsidRPr="006B7734">
        <w:rPr>
          <w:b/>
          <w:bCs/>
          <w:sz w:val="24"/>
          <w:szCs w:val="24"/>
        </w:rPr>
        <w:t>biofuels</w:t>
      </w:r>
      <w:r w:rsidR="00B975D7" w:rsidRPr="006B7734">
        <w:rPr>
          <w:sz w:val="24"/>
          <w:szCs w:val="24"/>
        </w:rPr>
        <w:t xml:space="preserve"> destinati al traporto. Calo per quelli in nuova capacità di </w:t>
      </w:r>
      <w:r w:rsidR="00B975D7" w:rsidRPr="006B7734">
        <w:rPr>
          <w:b/>
          <w:bCs/>
          <w:sz w:val="24"/>
          <w:szCs w:val="24"/>
        </w:rPr>
        <w:t>raffinazione</w:t>
      </w:r>
      <w:r w:rsidR="00B975D7" w:rsidRPr="006B7734">
        <w:rPr>
          <w:sz w:val="24"/>
          <w:szCs w:val="24"/>
        </w:rPr>
        <w:t>.</w:t>
      </w:r>
    </w:p>
    <w:p w14:paraId="2B441520" w14:textId="77777777" w:rsidR="00B975D7" w:rsidRPr="00820735" w:rsidRDefault="00B975D7" w:rsidP="00B975D7">
      <w:pPr>
        <w:ind w:left="567" w:right="1133"/>
        <w:jc w:val="center"/>
        <w:rPr>
          <w:sz w:val="26"/>
          <w:szCs w:val="26"/>
        </w:rPr>
      </w:pPr>
    </w:p>
    <w:p w14:paraId="2C8F3AA8" w14:textId="77777777" w:rsidR="000D0027" w:rsidRPr="00820735" w:rsidRDefault="000D0027" w:rsidP="000D0027">
      <w:pPr>
        <w:ind w:right="1700"/>
        <w:rPr>
          <w:sz w:val="26"/>
          <w:szCs w:val="26"/>
        </w:rPr>
      </w:pPr>
    </w:p>
    <w:p w14:paraId="03A7050D" w14:textId="77777777" w:rsidR="003F5715" w:rsidRDefault="003F5715" w:rsidP="00D04BDD">
      <w:pPr>
        <w:ind w:right="1700"/>
        <w:jc w:val="center"/>
        <w:rPr>
          <w:b/>
          <w:bCs/>
          <w:color w:val="0070C0"/>
          <w:sz w:val="28"/>
          <w:szCs w:val="28"/>
        </w:rPr>
      </w:pPr>
      <w:r>
        <w:rPr>
          <w:b/>
          <w:bCs/>
          <w:color w:val="0070C0"/>
          <w:sz w:val="28"/>
          <w:szCs w:val="28"/>
        </w:rPr>
        <w:br w:type="page"/>
      </w:r>
    </w:p>
    <w:p w14:paraId="68750E77" w14:textId="7A5756BA" w:rsidR="006A547B" w:rsidRPr="00D04BDD" w:rsidRDefault="00B16D35" w:rsidP="00D04BDD">
      <w:pPr>
        <w:ind w:right="1700"/>
        <w:jc w:val="center"/>
        <w:rPr>
          <w:b/>
          <w:bCs/>
          <w:color w:val="0070C0"/>
          <w:sz w:val="28"/>
          <w:szCs w:val="28"/>
        </w:rPr>
      </w:pPr>
      <w:r w:rsidRPr="00D04BDD">
        <w:rPr>
          <w:b/>
          <w:bCs/>
          <w:color w:val="0070C0"/>
          <w:sz w:val="28"/>
          <w:szCs w:val="28"/>
        </w:rPr>
        <w:lastRenderedPageBreak/>
        <w:t>SCENARIO INTERNAZIONALE</w:t>
      </w:r>
    </w:p>
    <w:p w14:paraId="3C61EF87" w14:textId="5056D90C" w:rsidR="00F034E1" w:rsidRPr="00301792" w:rsidRDefault="008A4CD3" w:rsidP="00301792">
      <w:pPr>
        <w:ind w:right="1700"/>
        <w:jc w:val="both"/>
        <w:rPr>
          <w:sz w:val="26"/>
          <w:szCs w:val="26"/>
        </w:rPr>
      </w:pPr>
      <w:r w:rsidRPr="00301792">
        <w:rPr>
          <w:sz w:val="26"/>
          <w:szCs w:val="26"/>
        </w:rPr>
        <w:t xml:space="preserve">Il 2024 è stato un anno fortemente caratterizzato </w:t>
      </w:r>
      <w:r w:rsidR="00FD1E8B" w:rsidRPr="00301792">
        <w:rPr>
          <w:sz w:val="26"/>
          <w:szCs w:val="26"/>
        </w:rPr>
        <w:t>da</w:t>
      </w:r>
      <w:r w:rsidR="00B16D35" w:rsidRPr="00301792">
        <w:rPr>
          <w:sz w:val="26"/>
          <w:szCs w:val="26"/>
        </w:rPr>
        <w:t xml:space="preserve"> </w:t>
      </w:r>
      <w:r w:rsidR="001D0ABF" w:rsidRPr="00301792">
        <w:rPr>
          <w:sz w:val="26"/>
          <w:szCs w:val="26"/>
        </w:rPr>
        <w:t xml:space="preserve">perduranti </w:t>
      </w:r>
      <w:r w:rsidRPr="00301792">
        <w:rPr>
          <w:sz w:val="26"/>
          <w:szCs w:val="26"/>
        </w:rPr>
        <w:t>tensioni geopolitiche</w:t>
      </w:r>
      <w:r w:rsidR="0040645E" w:rsidRPr="00301792">
        <w:rPr>
          <w:sz w:val="26"/>
          <w:szCs w:val="26"/>
        </w:rPr>
        <w:t>, forse</w:t>
      </w:r>
      <w:r w:rsidRPr="00301792">
        <w:rPr>
          <w:sz w:val="26"/>
          <w:szCs w:val="26"/>
        </w:rPr>
        <w:t xml:space="preserve"> ben più che nel 2023</w:t>
      </w:r>
      <w:r w:rsidR="0040645E" w:rsidRPr="00301792">
        <w:rPr>
          <w:sz w:val="26"/>
          <w:szCs w:val="26"/>
        </w:rPr>
        <w:t xml:space="preserve">, </w:t>
      </w:r>
      <w:r w:rsidR="00FB6D6D" w:rsidRPr="00301792">
        <w:rPr>
          <w:sz w:val="26"/>
          <w:szCs w:val="26"/>
        </w:rPr>
        <w:t xml:space="preserve">che </w:t>
      </w:r>
      <w:r w:rsidR="0040645E" w:rsidRPr="00301792">
        <w:rPr>
          <w:sz w:val="26"/>
          <w:szCs w:val="26"/>
        </w:rPr>
        <w:t xml:space="preserve">tuttavia non hanno </w:t>
      </w:r>
      <w:r w:rsidR="0017482C" w:rsidRPr="00301792">
        <w:rPr>
          <w:sz w:val="26"/>
          <w:szCs w:val="26"/>
        </w:rPr>
        <w:t xml:space="preserve">provocato </w:t>
      </w:r>
      <w:r w:rsidR="0005403A" w:rsidRPr="00301792">
        <w:rPr>
          <w:sz w:val="26"/>
          <w:szCs w:val="26"/>
        </w:rPr>
        <w:t xml:space="preserve">riflessi </w:t>
      </w:r>
      <w:r w:rsidR="00A957B5" w:rsidRPr="00301792">
        <w:rPr>
          <w:sz w:val="26"/>
          <w:szCs w:val="26"/>
        </w:rPr>
        <w:t xml:space="preserve">rilevanti </w:t>
      </w:r>
      <w:r w:rsidR="0040645E" w:rsidRPr="00301792">
        <w:rPr>
          <w:sz w:val="26"/>
          <w:szCs w:val="26"/>
        </w:rPr>
        <w:t>sui mercati petroliferi</w:t>
      </w:r>
      <w:r w:rsidR="00604685" w:rsidRPr="00301792">
        <w:rPr>
          <w:sz w:val="26"/>
          <w:szCs w:val="26"/>
        </w:rPr>
        <w:t xml:space="preserve">, a </w:t>
      </w:r>
      <w:r w:rsidR="00B43572" w:rsidRPr="00301792">
        <w:rPr>
          <w:sz w:val="26"/>
          <w:szCs w:val="26"/>
        </w:rPr>
        <w:t xml:space="preserve">riprova </w:t>
      </w:r>
      <w:r w:rsidR="00AD0B71">
        <w:rPr>
          <w:sz w:val="26"/>
          <w:szCs w:val="26"/>
        </w:rPr>
        <w:t xml:space="preserve">di </w:t>
      </w:r>
      <w:r w:rsidR="00D73D37">
        <w:rPr>
          <w:sz w:val="26"/>
          <w:szCs w:val="26"/>
        </w:rPr>
        <w:t>un’accresciuta flessibilità</w:t>
      </w:r>
      <w:r w:rsidR="00B43572" w:rsidRPr="00301792">
        <w:rPr>
          <w:sz w:val="26"/>
          <w:szCs w:val="26"/>
        </w:rPr>
        <w:t xml:space="preserve"> </w:t>
      </w:r>
      <w:r w:rsidR="00D73D37">
        <w:rPr>
          <w:sz w:val="26"/>
          <w:szCs w:val="26"/>
        </w:rPr>
        <w:t>e capacità</w:t>
      </w:r>
      <w:r w:rsidR="00B43572" w:rsidRPr="00301792">
        <w:rPr>
          <w:sz w:val="26"/>
          <w:szCs w:val="26"/>
        </w:rPr>
        <w:t xml:space="preserve"> di reagire rapidamente a</w:t>
      </w:r>
      <w:r w:rsidR="00504F9C" w:rsidRPr="00301792">
        <w:rPr>
          <w:sz w:val="26"/>
          <w:szCs w:val="26"/>
        </w:rPr>
        <w:t>d eventi esterni</w:t>
      </w:r>
      <w:r w:rsidR="00D73D37">
        <w:rPr>
          <w:sz w:val="26"/>
          <w:szCs w:val="26"/>
        </w:rPr>
        <w:t xml:space="preserve">, </w:t>
      </w:r>
      <w:r w:rsidR="00504F9C" w:rsidRPr="00301792">
        <w:rPr>
          <w:sz w:val="26"/>
          <w:szCs w:val="26"/>
        </w:rPr>
        <w:t xml:space="preserve">trovando nuovi equilibri </w:t>
      </w:r>
      <w:r w:rsidR="00336032">
        <w:rPr>
          <w:sz w:val="26"/>
          <w:szCs w:val="26"/>
        </w:rPr>
        <w:t>tra le</w:t>
      </w:r>
      <w:r w:rsidR="00504F9C" w:rsidRPr="00301792">
        <w:rPr>
          <w:sz w:val="26"/>
          <w:szCs w:val="26"/>
        </w:rPr>
        <w:t xml:space="preserve"> numerose </w:t>
      </w:r>
      <w:r w:rsidR="00D97D68">
        <w:rPr>
          <w:sz w:val="26"/>
          <w:szCs w:val="26"/>
        </w:rPr>
        <w:t>aree</w:t>
      </w:r>
      <w:r w:rsidR="00504F9C" w:rsidRPr="00301792">
        <w:rPr>
          <w:sz w:val="26"/>
          <w:szCs w:val="26"/>
        </w:rPr>
        <w:t xml:space="preserve"> di</w:t>
      </w:r>
      <w:r w:rsidR="00B43572" w:rsidRPr="00301792">
        <w:rPr>
          <w:sz w:val="26"/>
          <w:szCs w:val="26"/>
        </w:rPr>
        <w:t xml:space="preserve"> approvvigionamen</w:t>
      </w:r>
      <w:r w:rsidR="00FB2055" w:rsidRPr="00301792">
        <w:rPr>
          <w:sz w:val="26"/>
          <w:szCs w:val="26"/>
        </w:rPr>
        <w:t>t</w:t>
      </w:r>
      <w:r w:rsidR="00504F9C" w:rsidRPr="00301792">
        <w:rPr>
          <w:sz w:val="26"/>
          <w:szCs w:val="26"/>
        </w:rPr>
        <w:t>o</w:t>
      </w:r>
      <w:r w:rsidR="00B43572" w:rsidRPr="00301792">
        <w:rPr>
          <w:sz w:val="26"/>
          <w:szCs w:val="26"/>
        </w:rPr>
        <w:t>.</w:t>
      </w:r>
    </w:p>
    <w:p w14:paraId="25565C60" w14:textId="2ECA44B9" w:rsidR="0093738F" w:rsidRPr="00301792" w:rsidRDefault="00301792" w:rsidP="00301792">
      <w:pPr>
        <w:ind w:right="1700"/>
        <w:jc w:val="both"/>
        <w:rPr>
          <w:sz w:val="26"/>
          <w:szCs w:val="26"/>
        </w:rPr>
      </w:pPr>
      <w:r>
        <w:rPr>
          <w:b/>
          <w:bCs/>
          <w:noProof/>
          <w:sz w:val="26"/>
          <w:szCs w:val="26"/>
        </w:rPr>
        <mc:AlternateContent>
          <mc:Choice Requires="wps">
            <w:drawing>
              <wp:anchor distT="0" distB="0" distL="114300" distR="114300" simplePos="0" relativeHeight="251731968" behindDoc="0" locked="0" layoutInCell="1" allowOverlap="1" wp14:anchorId="2A1DF997" wp14:editId="727A63A6">
                <wp:simplePos x="0" y="0"/>
                <wp:positionH relativeFrom="column">
                  <wp:posOffset>5386070</wp:posOffset>
                </wp:positionH>
                <wp:positionV relativeFrom="paragraph">
                  <wp:posOffset>58420</wp:posOffset>
                </wp:positionV>
                <wp:extent cx="1017767" cy="310100"/>
                <wp:effectExtent l="0" t="0" r="11430" b="13970"/>
                <wp:wrapNone/>
                <wp:docPr id="607676148" name="Rettangolo 6"/>
                <wp:cNvGraphicFramePr/>
                <a:graphic xmlns:a="http://schemas.openxmlformats.org/drawingml/2006/main">
                  <a:graphicData uri="http://schemas.microsoft.com/office/word/2010/wordprocessingShape">
                    <wps:wsp>
                      <wps:cNvSpPr/>
                      <wps:spPr>
                        <a:xfrm>
                          <a:off x="0" y="0"/>
                          <a:ext cx="1017767" cy="3101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4D545A" w14:textId="00F9E159" w:rsidR="00301792" w:rsidRPr="00301792" w:rsidRDefault="00301792" w:rsidP="00301792">
                            <w:pPr>
                              <w:jc w:val="center"/>
                              <w:rPr>
                                <w:b/>
                                <w:bCs/>
                                <w:sz w:val="28"/>
                                <w:szCs w:val="28"/>
                              </w:rPr>
                            </w:pPr>
                            <w:r w:rsidRPr="00301792">
                              <w:rPr>
                                <w:b/>
                                <w:bCs/>
                                <w:sz w:val="28"/>
                                <w:szCs w:val="28"/>
                              </w:rPr>
                              <w:t>Slide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F997" id="Rettangolo 6" o:spid="_x0000_s1028" style="position:absolute;left:0;text-align:left;margin-left:424.1pt;margin-top:4.6pt;width:80.15pt;height:2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" fillcolor="#0070c0" strokecolor="#0070c0" strokeweight="1pt">
                <v:textbox>
                  <w:txbxContent>
                    <w:p w14:paraId="0A4D545A" w14:textId="00F9E159" w:rsidR="00301792" w:rsidRPr="00301792" w:rsidRDefault="00301792" w:rsidP="00301792">
                      <w:pPr>
                        <w:jc w:val="center"/>
                        <w:rPr>
                          <w:b/>
                          <w:bCs/>
                          <w:sz w:val="28"/>
                          <w:szCs w:val="28"/>
                        </w:rPr>
                      </w:pPr>
                      <w:r w:rsidRPr="00301792">
                        <w:rPr>
                          <w:b/>
                          <w:bCs/>
                          <w:sz w:val="28"/>
                          <w:szCs w:val="28"/>
                        </w:rPr>
                        <w:t>Slide 1</w:t>
                      </w:r>
                    </w:p>
                  </w:txbxContent>
                </v:textbox>
              </v:rect>
            </w:pict>
          </mc:Fallback>
        </mc:AlternateContent>
      </w:r>
      <w:r w:rsidR="004B5601" w:rsidRPr="00301792">
        <w:rPr>
          <w:sz w:val="26"/>
          <w:szCs w:val="26"/>
        </w:rPr>
        <w:t xml:space="preserve">La </w:t>
      </w:r>
      <w:r w:rsidR="004B5601" w:rsidRPr="00301792">
        <w:rPr>
          <w:b/>
          <w:bCs/>
          <w:sz w:val="26"/>
          <w:szCs w:val="26"/>
        </w:rPr>
        <w:t>domanda di petrolio</w:t>
      </w:r>
      <w:r w:rsidR="00724079" w:rsidRPr="00301792">
        <w:rPr>
          <w:sz w:val="26"/>
          <w:szCs w:val="26"/>
        </w:rPr>
        <w:t xml:space="preserve"> </w:t>
      </w:r>
      <w:r w:rsidR="00A57F50" w:rsidRPr="00301792">
        <w:rPr>
          <w:sz w:val="26"/>
          <w:szCs w:val="26"/>
        </w:rPr>
        <w:t>c</w:t>
      </w:r>
      <w:r w:rsidR="004B5601" w:rsidRPr="00301792">
        <w:rPr>
          <w:sz w:val="26"/>
          <w:szCs w:val="26"/>
        </w:rPr>
        <w:t xml:space="preserve">omplessivamente è </w:t>
      </w:r>
      <w:r w:rsidR="00724079" w:rsidRPr="00301792">
        <w:rPr>
          <w:sz w:val="26"/>
          <w:szCs w:val="26"/>
        </w:rPr>
        <w:t>ammontata</w:t>
      </w:r>
      <w:r w:rsidR="004B5601" w:rsidRPr="00301792">
        <w:rPr>
          <w:sz w:val="26"/>
          <w:szCs w:val="26"/>
        </w:rPr>
        <w:t xml:space="preserve"> a </w:t>
      </w:r>
      <w:r w:rsidR="00EA6E18" w:rsidRPr="00301792">
        <w:rPr>
          <w:sz w:val="26"/>
          <w:szCs w:val="26"/>
        </w:rPr>
        <w:t>102,8</w:t>
      </w:r>
      <w:r w:rsidR="004B5601" w:rsidRPr="00301792">
        <w:rPr>
          <w:sz w:val="26"/>
          <w:szCs w:val="26"/>
        </w:rPr>
        <w:t xml:space="preserve"> milioni </w:t>
      </w:r>
      <w:r w:rsidR="00BD1C33" w:rsidRPr="00301792">
        <w:rPr>
          <w:sz w:val="26"/>
          <w:szCs w:val="26"/>
        </w:rPr>
        <w:t>b/g</w:t>
      </w:r>
      <w:r w:rsidR="004B5601" w:rsidRPr="00301792">
        <w:rPr>
          <w:sz w:val="26"/>
          <w:szCs w:val="26"/>
        </w:rPr>
        <w:t xml:space="preserve">, </w:t>
      </w:r>
      <w:r w:rsidR="00A957B5" w:rsidRPr="00301792">
        <w:rPr>
          <w:sz w:val="26"/>
          <w:szCs w:val="26"/>
        </w:rPr>
        <w:t xml:space="preserve">ovvero </w:t>
      </w:r>
      <w:r w:rsidR="00692AD9">
        <w:rPr>
          <w:sz w:val="26"/>
          <w:szCs w:val="26"/>
        </w:rPr>
        <w:t>0,</w:t>
      </w:r>
      <w:r w:rsidR="00362BED">
        <w:rPr>
          <w:sz w:val="26"/>
          <w:szCs w:val="26"/>
        </w:rPr>
        <w:t>9</w:t>
      </w:r>
      <w:r w:rsidR="00692AD9">
        <w:rPr>
          <w:sz w:val="26"/>
          <w:szCs w:val="26"/>
        </w:rPr>
        <w:t xml:space="preserve"> milioni</w:t>
      </w:r>
      <w:r w:rsidR="009264E2" w:rsidRPr="00301792">
        <w:rPr>
          <w:sz w:val="26"/>
          <w:szCs w:val="26"/>
        </w:rPr>
        <w:t xml:space="preserve"> b/g</w:t>
      </w:r>
      <w:r w:rsidR="00FD2B31" w:rsidRPr="00301792">
        <w:rPr>
          <w:sz w:val="26"/>
          <w:szCs w:val="26"/>
        </w:rPr>
        <w:t xml:space="preserve"> in più rispetto al 2023</w:t>
      </w:r>
      <w:r w:rsidR="00BD1C33" w:rsidRPr="00301792">
        <w:rPr>
          <w:sz w:val="26"/>
          <w:szCs w:val="26"/>
        </w:rPr>
        <w:t xml:space="preserve"> a fronte </w:t>
      </w:r>
      <w:r w:rsidR="00742CC8" w:rsidRPr="00301792">
        <w:rPr>
          <w:sz w:val="26"/>
          <w:szCs w:val="26"/>
        </w:rPr>
        <w:t xml:space="preserve">dei 2 milioni dell’anno precedente. </w:t>
      </w:r>
      <w:r w:rsidR="00424A54" w:rsidRPr="00301792">
        <w:rPr>
          <w:sz w:val="26"/>
          <w:szCs w:val="26"/>
        </w:rPr>
        <w:t>Un</w:t>
      </w:r>
      <w:r w:rsidR="00AA1D80" w:rsidRPr="00301792">
        <w:rPr>
          <w:sz w:val="26"/>
          <w:szCs w:val="26"/>
        </w:rPr>
        <w:t xml:space="preserve"> </w:t>
      </w:r>
      <w:r w:rsidR="00C16BB1" w:rsidRPr="00301792">
        <w:rPr>
          <w:sz w:val="26"/>
          <w:szCs w:val="26"/>
        </w:rPr>
        <w:t xml:space="preserve">rallentamento </w:t>
      </w:r>
      <w:r w:rsidR="00A12651" w:rsidRPr="00301792">
        <w:rPr>
          <w:sz w:val="26"/>
          <w:szCs w:val="26"/>
        </w:rPr>
        <w:t>n</w:t>
      </w:r>
      <w:r w:rsidR="00A957B5" w:rsidRPr="00301792">
        <w:rPr>
          <w:sz w:val="26"/>
          <w:szCs w:val="26"/>
        </w:rPr>
        <w:t xml:space="preserve">ella crescita </w:t>
      </w:r>
      <w:r w:rsidR="00C16BB1" w:rsidRPr="00301792">
        <w:rPr>
          <w:sz w:val="26"/>
          <w:szCs w:val="26"/>
        </w:rPr>
        <w:t>che</w:t>
      </w:r>
      <w:r w:rsidR="00AA1D80" w:rsidRPr="00301792">
        <w:rPr>
          <w:sz w:val="26"/>
          <w:szCs w:val="26"/>
        </w:rPr>
        <w:t xml:space="preserve"> </w:t>
      </w:r>
      <w:r w:rsidR="009C45BE" w:rsidRPr="00301792">
        <w:rPr>
          <w:sz w:val="26"/>
          <w:szCs w:val="26"/>
        </w:rPr>
        <w:t>è stato una conferma per</w:t>
      </w:r>
      <w:r w:rsidR="00AA1D80" w:rsidRPr="00301792">
        <w:rPr>
          <w:sz w:val="26"/>
          <w:szCs w:val="26"/>
        </w:rPr>
        <w:t xml:space="preserve"> </w:t>
      </w:r>
      <w:r w:rsidR="00C16BB1" w:rsidRPr="00301792">
        <w:rPr>
          <w:sz w:val="26"/>
          <w:szCs w:val="26"/>
        </w:rPr>
        <w:t>i</w:t>
      </w:r>
      <w:r w:rsidR="00A57F50" w:rsidRPr="00301792">
        <w:rPr>
          <w:sz w:val="26"/>
          <w:szCs w:val="26"/>
        </w:rPr>
        <w:t xml:space="preserve"> Paesi Ocse</w:t>
      </w:r>
      <w:r w:rsidR="00E60511" w:rsidRPr="00301792">
        <w:rPr>
          <w:sz w:val="26"/>
          <w:szCs w:val="26"/>
        </w:rPr>
        <w:t>,</w:t>
      </w:r>
      <w:r w:rsidR="009C45BE" w:rsidRPr="00301792">
        <w:rPr>
          <w:sz w:val="26"/>
          <w:szCs w:val="26"/>
        </w:rPr>
        <w:t xml:space="preserve"> ma una </w:t>
      </w:r>
      <w:r w:rsidR="00400AE6" w:rsidRPr="00301792">
        <w:rPr>
          <w:sz w:val="26"/>
          <w:szCs w:val="26"/>
        </w:rPr>
        <w:t xml:space="preserve">parziale </w:t>
      </w:r>
      <w:r w:rsidR="009C45BE" w:rsidRPr="00301792">
        <w:rPr>
          <w:sz w:val="26"/>
          <w:szCs w:val="26"/>
        </w:rPr>
        <w:t>sorpresa per</w:t>
      </w:r>
      <w:r w:rsidR="00A57F50" w:rsidRPr="00301792">
        <w:rPr>
          <w:sz w:val="26"/>
          <w:szCs w:val="26"/>
        </w:rPr>
        <w:t xml:space="preserve"> </w:t>
      </w:r>
      <w:r w:rsidR="00C16BB1" w:rsidRPr="00301792">
        <w:rPr>
          <w:sz w:val="26"/>
          <w:szCs w:val="26"/>
        </w:rPr>
        <w:t xml:space="preserve">quelli </w:t>
      </w:r>
      <w:r w:rsidR="00A57F50" w:rsidRPr="00301792">
        <w:rPr>
          <w:sz w:val="26"/>
          <w:szCs w:val="26"/>
        </w:rPr>
        <w:t>non-Ocse</w:t>
      </w:r>
      <w:r w:rsidR="00822BF5" w:rsidRPr="00301792">
        <w:rPr>
          <w:sz w:val="26"/>
          <w:szCs w:val="26"/>
        </w:rPr>
        <w:t xml:space="preserve"> </w:t>
      </w:r>
      <w:r w:rsidR="00E20167" w:rsidRPr="00301792">
        <w:rPr>
          <w:sz w:val="26"/>
          <w:szCs w:val="26"/>
        </w:rPr>
        <w:t xml:space="preserve">che </w:t>
      </w:r>
      <w:r w:rsidR="00692A0B" w:rsidRPr="00301792">
        <w:rPr>
          <w:sz w:val="26"/>
          <w:szCs w:val="26"/>
        </w:rPr>
        <w:t xml:space="preserve">hanno </w:t>
      </w:r>
      <w:r w:rsidR="00221483" w:rsidRPr="00301792">
        <w:rPr>
          <w:sz w:val="26"/>
          <w:szCs w:val="26"/>
        </w:rPr>
        <w:t>scontato</w:t>
      </w:r>
      <w:r w:rsidR="00504F9C" w:rsidRPr="00301792">
        <w:rPr>
          <w:sz w:val="26"/>
          <w:szCs w:val="26"/>
        </w:rPr>
        <w:t xml:space="preserve"> </w:t>
      </w:r>
      <w:r w:rsidR="00AE27BA" w:rsidRPr="00301792">
        <w:rPr>
          <w:sz w:val="26"/>
          <w:szCs w:val="26"/>
        </w:rPr>
        <w:t>il raffreddamento</w:t>
      </w:r>
      <w:r w:rsidR="00504F9C" w:rsidRPr="00301792">
        <w:rPr>
          <w:sz w:val="26"/>
          <w:szCs w:val="26"/>
        </w:rPr>
        <w:t xml:space="preserve"> </w:t>
      </w:r>
      <w:r w:rsidR="00DA2FB7" w:rsidRPr="00301792">
        <w:rPr>
          <w:sz w:val="26"/>
          <w:szCs w:val="26"/>
        </w:rPr>
        <w:t>dell’economia cinese</w:t>
      </w:r>
      <w:r w:rsidR="00DD16E3">
        <w:rPr>
          <w:sz w:val="26"/>
          <w:szCs w:val="26"/>
        </w:rPr>
        <w:t xml:space="preserve">. </w:t>
      </w:r>
    </w:p>
    <w:p w14:paraId="2CA471F6" w14:textId="3F48E9F9" w:rsidR="00F34383" w:rsidRPr="00301792" w:rsidRDefault="00026C3F" w:rsidP="00301792">
      <w:pPr>
        <w:ind w:right="1700"/>
        <w:jc w:val="both"/>
        <w:rPr>
          <w:sz w:val="26"/>
          <w:szCs w:val="26"/>
        </w:rPr>
      </w:pPr>
      <w:r w:rsidRPr="00301792">
        <w:rPr>
          <w:sz w:val="26"/>
          <w:szCs w:val="26"/>
        </w:rPr>
        <w:t>Analizzando le</w:t>
      </w:r>
      <w:r w:rsidR="00400AE6" w:rsidRPr="00301792">
        <w:rPr>
          <w:sz w:val="26"/>
          <w:szCs w:val="26"/>
        </w:rPr>
        <w:t xml:space="preserve"> dinamiche dei singoli Paesi </w:t>
      </w:r>
      <w:r w:rsidR="00867FA3" w:rsidRPr="00301792">
        <w:rPr>
          <w:sz w:val="26"/>
          <w:szCs w:val="26"/>
        </w:rPr>
        <w:t>si nota</w:t>
      </w:r>
      <w:r w:rsidR="006D1ED3" w:rsidRPr="00301792">
        <w:rPr>
          <w:sz w:val="26"/>
          <w:szCs w:val="26"/>
        </w:rPr>
        <w:t xml:space="preserve"> </w:t>
      </w:r>
      <w:r w:rsidR="00FB4A96" w:rsidRPr="00301792">
        <w:rPr>
          <w:sz w:val="26"/>
          <w:szCs w:val="26"/>
        </w:rPr>
        <w:t xml:space="preserve">infatti </w:t>
      </w:r>
      <w:r w:rsidR="00025573" w:rsidRPr="00301792">
        <w:rPr>
          <w:sz w:val="26"/>
          <w:szCs w:val="26"/>
        </w:rPr>
        <w:t xml:space="preserve">un </w:t>
      </w:r>
      <w:r w:rsidR="00754A4C" w:rsidRPr="00301792">
        <w:rPr>
          <w:sz w:val="26"/>
          <w:szCs w:val="26"/>
        </w:rPr>
        <w:t xml:space="preserve">andamento sostanzialmente </w:t>
      </w:r>
      <w:r w:rsidR="00754A4C" w:rsidRPr="00301792">
        <w:rPr>
          <w:i/>
          <w:iCs/>
          <w:sz w:val="26"/>
          <w:szCs w:val="26"/>
        </w:rPr>
        <w:t>flat</w:t>
      </w:r>
      <w:r w:rsidR="00754A4C" w:rsidRPr="00301792">
        <w:rPr>
          <w:sz w:val="26"/>
          <w:szCs w:val="26"/>
        </w:rPr>
        <w:t xml:space="preserve"> per Europa </w:t>
      </w:r>
      <w:r w:rsidR="00025573" w:rsidRPr="00301792">
        <w:rPr>
          <w:sz w:val="26"/>
          <w:szCs w:val="26"/>
        </w:rPr>
        <w:t xml:space="preserve">e </w:t>
      </w:r>
      <w:r w:rsidR="00867FA3" w:rsidRPr="00301792">
        <w:rPr>
          <w:sz w:val="26"/>
          <w:szCs w:val="26"/>
        </w:rPr>
        <w:t>Stati Uniti</w:t>
      </w:r>
      <w:r w:rsidR="00754A4C" w:rsidRPr="00301792">
        <w:rPr>
          <w:sz w:val="26"/>
          <w:szCs w:val="26"/>
        </w:rPr>
        <w:t xml:space="preserve">, </w:t>
      </w:r>
      <w:r w:rsidR="00A10EFD" w:rsidRPr="00301792">
        <w:rPr>
          <w:sz w:val="26"/>
          <w:szCs w:val="26"/>
        </w:rPr>
        <w:t>più che compensato</w:t>
      </w:r>
      <w:r w:rsidR="00754A4C" w:rsidRPr="00301792">
        <w:rPr>
          <w:sz w:val="26"/>
          <w:szCs w:val="26"/>
        </w:rPr>
        <w:t xml:space="preserve"> </w:t>
      </w:r>
      <w:r w:rsidR="009F7989" w:rsidRPr="00301792">
        <w:rPr>
          <w:sz w:val="26"/>
          <w:szCs w:val="26"/>
        </w:rPr>
        <w:t>da Africa</w:t>
      </w:r>
      <w:r w:rsidR="00BF1DCE" w:rsidRPr="00301792">
        <w:rPr>
          <w:sz w:val="26"/>
          <w:szCs w:val="26"/>
        </w:rPr>
        <w:t>,</w:t>
      </w:r>
      <w:r w:rsidR="009F7989" w:rsidRPr="00301792">
        <w:rPr>
          <w:sz w:val="26"/>
          <w:szCs w:val="26"/>
        </w:rPr>
        <w:t xml:space="preserve"> Medio Oriente</w:t>
      </w:r>
      <w:r w:rsidR="00FB4A96" w:rsidRPr="00301792">
        <w:rPr>
          <w:sz w:val="26"/>
          <w:szCs w:val="26"/>
        </w:rPr>
        <w:t xml:space="preserve">, </w:t>
      </w:r>
      <w:r w:rsidR="00BF1DCE" w:rsidRPr="00301792">
        <w:rPr>
          <w:sz w:val="26"/>
          <w:szCs w:val="26"/>
        </w:rPr>
        <w:t>America del Sud</w:t>
      </w:r>
      <w:r w:rsidR="00FB4A96" w:rsidRPr="00301792">
        <w:rPr>
          <w:sz w:val="26"/>
          <w:szCs w:val="26"/>
        </w:rPr>
        <w:t xml:space="preserve"> </w:t>
      </w:r>
      <w:r w:rsidR="00B83D8B" w:rsidRPr="00301792">
        <w:rPr>
          <w:sz w:val="26"/>
          <w:szCs w:val="26"/>
        </w:rPr>
        <w:t xml:space="preserve">e </w:t>
      </w:r>
      <w:r w:rsidR="00800FF8" w:rsidRPr="00301792">
        <w:rPr>
          <w:sz w:val="26"/>
          <w:szCs w:val="26"/>
        </w:rPr>
        <w:t>dai</w:t>
      </w:r>
      <w:r w:rsidR="007F4600" w:rsidRPr="00301792">
        <w:rPr>
          <w:sz w:val="26"/>
          <w:szCs w:val="26"/>
        </w:rPr>
        <w:t xml:space="preserve"> Paesi</w:t>
      </w:r>
      <w:r w:rsidR="00B83D8B" w:rsidRPr="00301792">
        <w:rPr>
          <w:sz w:val="26"/>
          <w:szCs w:val="26"/>
        </w:rPr>
        <w:t xml:space="preserve"> asiatici</w:t>
      </w:r>
      <w:r w:rsidR="00D563E2" w:rsidRPr="00301792">
        <w:rPr>
          <w:sz w:val="26"/>
          <w:szCs w:val="26"/>
        </w:rPr>
        <w:t xml:space="preserve">, </w:t>
      </w:r>
      <w:r w:rsidR="00B83D8B" w:rsidRPr="00301792">
        <w:rPr>
          <w:sz w:val="26"/>
          <w:szCs w:val="26"/>
        </w:rPr>
        <w:t>ad eccezione del</w:t>
      </w:r>
      <w:r w:rsidR="00F34383" w:rsidRPr="00301792">
        <w:rPr>
          <w:sz w:val="26"/>
          <w:szCs w:val="26"/>
        </w:rPr>
        <w:t xml:space="preserve">la </w:t>
      </w:r>
      <w:r w:rsidR="00B165CC" w:rsidRPr="00301792">
        <w:rPr>
          <w:sz w:val="26"/>
          <w:szCs w:val="26"/>
        </w:rPr>
        <w:t xml:space="preserve">Cina che ha </w:t>
      </w:r>
      <w:r w:rsidR="00FD1B3E" w:rsidRPr="00301792">
        <w:rPr>
          <w:sz w:val="26"/>
          <w:szCs w:val="26"/>
        </w:rPr>
        <w:t xml:space="preserve">contribuito per </w:t>
      </w:r>
      <w:r w:rsidR="00B165CC" w:rsidRPr="00301792">
        <w:rPr>
          <w:sz w:val="26"/>
          <w:szCs w:val="26"/>
        </w:rPr>
        <w:t>il 14% dell’incremento</w:t>
      </w:r>
      <w:r w:rsidR="00BF7852" w:rsidRPr="00301792">
        <w:rPr>
          <w:sz w:val="26"/>
          <w:szCs w:val="26"/>
        </w:rPr>
        <w:t xml:space="preserve"> totale</w:t>
      </w:r>
      <w:r w:rsidR="007505F0">
        <w:rPr>
          <w:sz w:val="26"/>
          <w:szCs w:val="26"/>
        </w:rPr>
        <w:t>,</w:t>
      </w:r>
      <w:r w:rsidR="00B165CC" w:rsidRPr="00301792">
        <w:rPr>
          <w:sz w:val="26"/>
          <w:szCs w:val="26"/>
        </w:rPr>
        <w:t xml:space="preserve"> rispetto al </w:t>
      </w:r>
      <w:r w:rsidR="00025573" w:rsidRPr="00301792">
        <w:rPr>
          <w:sz w:val="26"/>
          <w:szCs w:val="26"/>
        </w:rPr>
        <w:t>67% del 2023</w:t>
      </w:r>
      <w:r w:rsidR="007505F0">
        <w:rPr>
          <w:sz w:val="26"/>
          <w:szCs w:val="26"/>
        </w:rPr>
        <w:t>, e</w:t>
      </w:r>
      <w:r w:rsidR="004651FB">
        <w:rPr>
          <w:sz w:val="26"/>
          <w:szCs w:val="26"/>
        </w:rPr>
        <w:t xml:space="preserve"> </w:t>
      </w:r>
      <w:r w:rsidR="00DA1B4E">
        <w:rPr>
          <w:sz w:val="26"/>
          <w:szCs w:val="26"/>
        </w:rPr>
        <w:t>che</w:t>
      </w:r>
      <w:r w:rsidR="004651FB">
        <w:rPr>
          <w:sz w:val="26"/>
          <w:szCs w:val="26"/>
        </w:rPr>
        <w:t xml:space="preserve"> </w:t>
      </w:r>
      <w:r w:rsidR="00DA1B4E">
        <w:rPr>
          <w:sz w:val="26"/>
          <w:szCs w:val="26"/>
        </w:rPr>
        <w:t>ha</w:t>
      </w:r>
      <w:r w:rsidR="004651FB">
        <w:rPr>
          <w:sz w:val="26"/>
          <w:szCs w:val="26"/>
        </w:rPr>
        <w:t xml:space="preserve"> vist</w:t>
      </w:r>
      <w:r w:rsidR="00DA1B4E">
        <w:rPr>
          <w:sz w:val="26"/>
          <w:szCs w:val="26"/>
        </w:rPr>
        <w:t>o</w:t>
      </w:r>
      <w:r w:rsidR="004651FB">
        <w:rPr>
          <w:sz w:val="26"/>
          <w:szCs w:val="26"/>
        </w:rPr>
        <w:t xml:space="preserve"> una maggiore</w:t>
      </w:r>
      <w:r w:rsidR="004651FB" w:rsidRPr="00301792">
        <w:rPr>
          <w:sz w:val="26"/>
          <w:szCs w:val="26"/>
        </w:rPr>
        <w:t xml:space="preserve"> penetrazione delle autovetture elettriche che </w:t>
      </w:r>
      <w:r w:rsidR="004651FB">
        <w:rPr>
          <w:sz w:val="26"/>
          <w:szCs w:val="26"/>
        </w:rPr>
        <w:t xml:space="preserve">nel 2024 </w:t>
      </w:r>
      <w:r w:rsidR="004651FB" w:rsidRPr="00301792">
        <w:rPr>
          <w:sz w:val="26"/>
          <w:szCs w:val="26"/>
        </w:rPr>
        <w:t xml:space="preserve">hanno </w:t>
      </w:r>
      <w:r w:rsidR="00B4282C">
        <w:rPr>
          <w:sz w:val="26"/>
          <w:szCs w:val="26"/>
        </w:rPr>
        <w:t>“spiazzato”</w:t>
      </w:r>
      <w:r w:rsidR="004651FB" w:rsidRPr="00301792">
        <w:rPr>
          <w:sz w:val="26"/>
          <w:szCs w:val="26"/>
        </w:rPr>
        <w:t xml:space="preserve"> </w:t>
      </w:r>
      <w:r w:rsidR="00DA1B4E">
        <w:rPr>
          <w:sz w:val="26"/>
          <w:szCs w:val="26"/>
        </w:rPr>
        <w:t xml:space="preserve">di </w:t>
      </w:r>
      <w:r w:rsidR="004651FB">
        <w:rPr>
          <w:sz w:val="26"/>
          <w:szCs w:val="26"/>
        </w:rPr>
        <w:t xml:space="preserve">310.000 b/g </w:t>
      </w:r>
      <w:r w:rsidR="00975757">
        <w:rPr>
          <w:sz w:val="26"/>
          <w:szCs w:val="26"/>
        </w:rPr>
        <w:t>la</w:t>
      </w:r>
      <w:r w:rsidR="004651FB">
        <w:rPr>
          <w:sz w:val="26"/>
          <w:szCs w:val="26"/>
        </w:rPr>
        <w:t xml:space="preserve"> domanda di petrolio</w:t>
      </w:r>
      <w:r w:rsidR="007505F0">
        <w:rPr>
          <w:sz w:val="26"/>
          <w:szCs w:val="26"/>
        </w:rPr>
        <w:t xml:space="preserve"> interna</w:t>
      </w:r>
      <w:r w:rsidR="004651FB">
        <w:rPr>
          <w:sz w:val="26"/>
          <w:szCs w:val="26"/>
        </w:rPr>
        <w:t xml:space="preserve"> (</w:t>
      </w:r>
      <w:r w:rsidR="00975757">
        <w:rPr>
          <w:sz w:val="26"/>
          <w:szCs w:val="26"/>
        </w:rPr>
        <w:t>pari all’</w:t>
      </w:r>
      <w:r w:rsidR="004651FB">
        <w:rPr>
          <w:sz w:val="26"/>
          <w:szCs w:val="26"/>
        </w:rPr>
        <w:t>1,8%).</w:t>
      </w:r>
    </w:p>
    <w:p w14:paraId="5A7D8CD2" w14:textId="33E94CFE" w:rsidR="003F69DB" w:rsidRPr="00301792" w:rsidRDefault="00D563E2" w:rsidP="00301792">
      <w:pPr>
        <w:ind w:right="1700"/>
        <w:jc w:val="both"/>
        <w:rPr>
          <w:sz w:val="26"/>
          <w:szCs w:val="26"/>
        </w:rPr>
      </w:pPr>
      <w:r w:rsidRPr="00301792">
        <w:rPr>
          <w:sz w:val="26"/>
          <w:szCs w:val="26"/>
        </w:rPr>
        <w:t>Complessivamente</w:t>
      </w:r>
      <w:r w:rsidR="00D153FB" w:rsidRPr="00301792">
        <w:rPr>
          <w:sz w:val="26"/>
          <w:szCs w:val="26"/>
        </w:rPr>
        <w:t xml:space="preserve">, negli ultimi dieci anni la domanda </w:t>
      </w:r>
      <w:r w:rsidR="00504F9C" w:rsidRPr="00301792">
        <w:rPr>
          <w:sz w:val="26"/>
          <w:szCs w:val="26"/>
        </w:rPr>
        <w:t xml:space="preserve">globale </w:t>
      </w:r>
      <w:r w:rsidR="00D153FB" w:rsidRPr="00301792">
        <w:rPr>
          <w:sz w:val="26"/>
          <w:szCs w:val="26"/>
        </w:rPr>
        <w:t>di petrolio è cresci</w:t>
      </w:r>
      <w:r w:rsidR="00763F21" w:rsidRPr="00301792">
        <w:rPr>
          <w:sz w:val="26"/>
          <w:szCs w:val="26"/>
        </w:rPr>
        <w:t xml:space="preserve">uta di 9 milioni b/g che diventano </w:t>
      </w:r>
      <w:r w:rsidR="003F69DB" w:rsidRPr="00301792">
        <w:rPr>
          <w:sz w:val="26"/>
          <w:szCs w:val="26"/>
        </w:rPr>
        <w:t>25,6 milioni dal 2000</w:t>
      </w:r>
      <w:r w:rsidR="00664DF8" w:rsidRPr="00301792">
        <w:rPr>
          <w:sz w:val="26"/>
          <w:szCs w:val="26"/>
        </w:rPr>
        <w:t xml:space="preserve">, </w:t>
      </w:r>
      <w:r w:rsidR="00B43572" w:rsidRPr="00301792">
        <w:rPr>
          <w:sz w:val="26"/>
          <w:szCs w:val="26"/>
        </w:rPr>
        <w:t xml:space="preserve">quale </w:t>
      </w:r>
      <w:r w:rsidR="00734283" w:rsidRPr="00301792">
        <w:rPr>
          <w:sz w:val="26"/>
          <w:szCs w:val="26"/>
        </w:rPr>
        <w:t>saldo tra</w:t>
      </w:r>
      <w:r w:rsidR="00664DF8" w:rsidRPr="00301792">
        <w:rPr>
          <w:sz w:val="26"/>
          <w:szCs w:val="26"/>
        </w:rPr>
        <w:t xml:space="preserve"> </w:t>
      </w:r>
      <w:r w:rsidR="00734283" w:rsidRPr="00301792">
        <w:rPr>
          <w:sz w:val="26"/>
          <w:szCs w:val="26"/>
        </w:rPr>
        <w:t>il</w:t>
      </w:r>
      <w:r w:rsidR="00664DF8" w:rsidRPr="00301792">
        <w:rPr>
          <w:sz w:val="26"/>
          <w:szCs w:val="26"/>
        </w:rPr>
        <w:t xml:space="preserve"> calo di </w:t>
      </w:r>
      <w:r w:rsidR="00734283" w:rsidRPr="00301792">
        <w:rPr>
          <w:sz w:val="26"/>
          <w:szCs w:val="26"/>
        </w:rPr>
        <w:t xml:space="preserve">2,9 milioni b/g dei Paesi Ocse e l’aumento di </w:t>
      </w:r>
      <w:r w:rsidR="00CC6B92" w:rsidRPr="00301792">
        <w:rPr>
          <w:sz w:val="26"/>
          <w:szCs w:val="26"/>
        </w:rPr>
        <w:t>28,5 milioni per quelli non-Ocse.</w:t>
      </w:r>
    </w:p>
    <w:p w14:paraId="2078FF9F" w14:textId="2B06E289" w:rsidR="003F69DB" w:rsidRPr="00301792" w:rsidRDefault="003F69DB" w:rsidP="00301792">
      <w:pPr>
        <w:ind w:right="1700"/>
        <w:jc w:val="both"/>
        <w:rPr>
          <w:sz w:val="26"/>
          <w:szCs w:val="26"/>
        </w:rPr>
      </w:pPr>
      <w:r w:rsidRPr="00301792">
        <w:rPr>
          <w:sz w:val="26"/>
          <w:szCs w:val="26"/>
        </w:rPr>
        <w:t xml:space="preserve">Le </w:t>
      </w:r>
      <w:r w:rsidRPr="00301792">
        <w:rPr>
          <w:b/>
          <w:bCs/>
          <w:sz w:val="26"/>
          <w:szCs w:val="26"/>
        </w:rPr>
        <w:t>attese per il 2025</w:t>
      </w:r>
      <w:r w:rsidRPr="00301792">
        <w:rPr>
          <w:sz w:val="26"/>
          <w:szCs w:val="26"/>
        </w:rPr>
        <w:t xml:space="preserve"> sono di un progresso stimato in circa</w:t>
      </w:r>
      <w:r w:rsidR="0045066D" w:rsidRPr="00301792">
        <w:rPr>
          <w:sz w:val="26"/>
          <w:szCs w:val="26"/>
        </w:rPr>
        <w:t xml:space="preserve"> 1 milione b/g</w:t>
      </w:r>
      <w:r w:rsidR="007505F0">
        <w:rPr>
          <w:sz w:val="26"/>
          <w:szCs w:val="26"/>
        </w:rPr>
        <w:t>,</w:t>
      </w:r>
      <w:r w:rsidR="0045066D" w:rsidRPr="00301792">
        <w:rPr>
          <w:sz w:val="26"/>
          <w:szCs w:val="26"/>
        </w:rPr>
        <w:t xml:space="preserve"> </w:t>
      </w:r>
      <w:r w:rsidR="001D1EFA" w:rsidRPr="00301792">
        <w:rPr>
          <w:sz w:val="26"/>
          <w:szCs w:val="26"/>
        </w:rPr>
        <w:t xml:space="preserve">dovuto ad un </w:t>
      </w:r>
      <w:r w:rsidR="0045066D" w:rsidRPr="00301792">
        <w:rPr>
          <w:sz w:val="26"/>
          <w:szCs w:val="26"/>
        </w:rPr>
        <w:t>modesto calo dei Paesi Ocse</w:t>
      </w:r>
      <w:r w:rsidR="001D1EFA" w:rsidRPr="00301792">
        <w:rPr>
          <w:sz w:val="26"/>
          <w:szCs w:val="26"/>
        </w:rPr>
        <w:t>,</w:t>
      </w:r>
      <w:r w:rsidR="0045066D" w:rsidRPr="00301792">
        <w:rPr>
          <w:sz w:val="26"/>
          <w:szCs w:val="26"/>
        </w:rPr>
        <w:t xml:space="preserve"> </w:t>
      </w:r>
      <w:r w:rsidR="00A50B13" w:rsidRPr="00301792">
        <w:rPr>
          <w:sz w:val="26"/>
          <w:szCs w:val="26"/>
        </w:rPr>
        <w:t xml:space="preserve">ampiamente bilanciato </w:t>
      </w:r>
      <w:r w:rsidR="007A32B3">
        <w:rPr>
          <w:sz w:val="26"/>
          <w:szCs w:val="26"/>
        </w:rPr>
        <w:t>dai</w:t>
      </w:r>
      <w:r w:rsidR="00A50B13" w:rsidRPr="00301792">
        <w:rPr>
          <w:sz w:val="26"/>
          <w:szCs w:val="26"/>
        </w:rPr>
        <w:t xml:space="preserve"> Paesi non-Ocse</w:t>
      </w:r>
      <w:r w:rsidR="00A71115" w:rsidRPr="00301792">
        <w:rPr>
          <w:sz w:val="26"/>
          <w:szCs w:val="26"/>
        </w:rPr>
        <w:t>.</w:t>
      </w:r>
      <w:r w:rsidR="009F45DD" w:rsidRPr="00301792">
        <w:rPr>
          <w:sz w:val="26"/>
          <w:szCs w:val="26"/>
        </w:rPr>
        <w:t xml:space="preserve"> </w:t>
      </w:r>
      <w:r w:rsidR="00A81E1D" w:rsidRPr="00301792">
        <w:rPr>
          <w:sz w:val="26"/>
          <w:szCs w:val="26"/>
        </w:rPr>
        <w:t>Un dato</w:t>
      </w:r>
      <w:r w:rsidR="00504F9C" w:rsidRPr="00301792">
        <w:rPr>
          <w:sz w:val="26"/>
          <w:szCs w:val="26"/>
        </w:rPr>
        <w:t xml:space="preserve"> comunque </w:t>
      </w:r>
      <w:r w:rsidR="00A81E1D" w:rsidRPr="00301792">
        <w:rPr>
          <w:sz w:val="26"/>
          <w:szCs w:val="26"/>
        </w:rPr>
        <w:t xml:space="preserve">inferiore alle </w:t>
      </w:r>
      <w:r w:rsidR="00CC6B92" w:rsidRPr="00301792">
        <w:rPr>
          <w:sz w:val="26"/>
          <w:szCs w:val="26"/>
        </w:rPr>
        <w:t xml:space="preserve">ultime </w:t>
      </w:r>
      <w:r w:rsidR="00A81E1D" w:rsidRPr="00301792">
        <w:rPr>
          <w:sz w:val="26"/>
          <w:szCs w:val="26"/>
        </w:rPr>
        <w:t>previsioni Opec che, per quanto in riviste</w:t>
      </w:r>
      <w:r w:rsidR="00321449" w:rsidRPr="00301792">
        <w:rPr>
          <w:sz w:val="26"/>
          <w:szCs w:val="26"/>
        </w:rPr>
        <w:t xml:space="preserve"> </w:t>
      </w:r>
      <w:r w:rsidR="00A81E1D" w:rsidRPr="00301792">
        <w:rPr>
          <w:sz w:val="26"/>
          <w:szCs w:val="26"/>
        </w:rPr>
        <w:t xml:space="preserve">al ribasso, indicano </w:t>
      </w:r>
      <w:r w:rsidR="00B43572" w:rsidRPr="00301792">
        <w:rPr>
          <w:sz w:val="26"/>
          <w:szCs w:val="26"/>
        </w:rPr>
        <w:t xml:space="preserve">ancora </w:t>
      </w:r>
      <w:r w:rsidR="00A81E1D" w:rsidRPr="00301792">
        <w:rPr>
          <w:sz w:val="26"/>
          <w:szCs w:val="26"/>
        </w:rPr>
        <w:t xml:space="preserve">una crescita di </w:t>
      </w:r>
      <w:r w:rsidR="005979EF" w:rsidRPr="00301792">
        <w:rPr>
          <w:sz w:val="26"/>
          <w:szCs w:val="26"/>
        </w:rPr>
        <w:t>1,5 milioni</w:t>
      </w:r>
      <w:r w:rsidR="00321449" w:rsidRPr="00301792">
        <w:rPr>
          <w:sz w:val="26"/>
          <w:szCs w:val="26"/>
        </w:rPr>
        <w:t xml:space="preserve"> b/g</w:t>
      </w:r>
      <w:r w:rsidR="005979EF" w:rsidRPr="00301792">
        <w:rPr>
          <w:sz w:val="26"/>
          <w:szCs w:val="26"/>
        </w:rPr>
        <w:t>.</w:t>
      </w:r>
    </w:p>
    <w:p w14:paraId="57F8DE3E" w14:textId="17A28ADE" w:rsidR="00ED65F7" w:rsidRPr="00301792" w:rsidRDefault="003F267D" w:rsidP="00301792">
      <w:pPr>
        <w:ind w:right="1700"/>
        <w:jc w:val="both"/>
        <w:rPr>
          <w:sz w:val="26"/>
          <w:szCs w:val="26"/>
        </w:rPr>
      </w:pPr>
      <w:r>
        <w:rPr>
          <w:b/>
          <w:bCs/>
          <w:noProof/>
          <w:sz w:val="26"/>
          <w:szCs w:val="26"/>
        </w:rPr>
        <mc:AlternateContent>
          <mc:Choice Requires="wps">
            <w:drawing>
              <wp:anchor distT="0" distB="0" distL="114300" distR="114300" simplePos="0" relativeHeight="251734016" behindDoc="0" locked="0" layoutInCell="1" allowOverlap="1" wp14:anchorId="4ECDE21F" wp14:editId="07BEE020">
                <wp:simplePos x="0" y="0"/>
                <wp:positionH relativeFrom="column">
                  <wp:posOffset>5382260</wp:posOffset>
                </wp:positionH>
                <wp:positionV relativeFrom="paragraph">
                  <wp:posOffset>45416</wp:posOffset>
                </wp:positionV>
                <wp:extent cx="1017270" cy="309880"/>
                <wp:effectExtent l="0" t="0" r="11430" b="13970"/>
                <wp:wrapNone/>
                <wp:docPr id="1805862475"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E191F" w14:textId="77777777" w:rsidR="003F267D" w:rsidRPr="00301792" w:rsidRDefault="003F267D" w:rsidP="003F267D">
                            <w:pPr>
                              <w:jc w:val="center"/>
                              <w:rPr>
                                <w:b/>
                                <w:bCs/>
                                <w:sz w:val="28"/>
                                <w:szCs w:val="28"/>
                              </w:rPr>
                            </w:pPr>
                            <w:r w:rsidRPr="00301792">
                              <w:rPr>
                                <w:b/>
                                <w:bCs/>
                                <w:sz w:val="28"/>
                                <w:szCs w:val="28"/>
                              </w:rPr>
                              <w:t xml:space="preserve">Slide </w:t>
                            </w:r>
                            <w:r>
                              <w:rPr>
                                <w:b/>
                                <w:bCs/>
                                <w:sz w:val="28"/>
                                <w:szCs w:val="28"/>
                              </w:rPr>
                              <w:t>2</w:t>
                            </w:r>
                          </w:p>
                          <w:p w14:paraId="50EF7B85" w14:textId="018323B9" w:rsidR="003F267D" w:rsidRPr="00301792" w:rsidRDefault="003F267D" w:rsidP="003F267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DE21F" id="_x0000_s1029" style="position:absolute;left:0;text-align:left;margin-left:423.8pt;margin-top:3.6pt;width:80.1pt;height:2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" fillcolor="#0070c0" strokecolor="#0070c0" strokeweight="1pt">
                <v:textbox>
                  <w:txbxContent>
                    <w:p w14:paraId="1EFE191F" w14:textId="77777777" w:rsidR="003F267D" w:rsidRPr="00301792" w:rsidRDefault="003F267D" w:rsidP="003F267D">
                      <w:pPr>
                        <w:jc w:val="center"/>
                        <w:rPr>
                          <w:b/>
                          <w:bCs/>
                          <w:sz w:val="28"/>
                          <w:szCs w:val="28"/>
                        </w:rPr>
                      </w:pPr>
                      <w:r w:rsidRPr="00301792">
                        <w:rPr>
                          <w:b/>
                          <w:bCs/>
                          <w:sz w:val="28"/>
                          <w:szCs w:val="28"/>
                        </w:rPr>
                        <w:t xml:space="preserve">Slide </w:t>
                      </w:r>
                      <w:r>
                        <w:rPr>
                          <w:b/>
                          <w:bCs/>
                          <w:sz w:val="28"/>
                          <w:szCs w:val="28"/>
                        </w:rPr>
                        <w:t>2</w:t>
                      </w:r>
                    </w:p>
                    <w:p w14:paraId="50EF7B85" w14:textId="018323B9" w:rsidR="003F267D" w:rsidRPr="00301792" w:rsidRDefault="003F267D" w:rsidP="003F267D">
                      <w:pPr>
                        <w:jc w:val="center"/>
                        <w:rPr>
                          <w:b/>
                          <w:bCs/>
                          <w:sz w:val="28"/>
                          <w:szCs w:val="28"/>
                        </w:rPr>
                      </w:pPr>
                    </w:p>
                  </w:txbxContent>
                </v:textbox>
              </v:rect>
            </w:pict>
          </mc:Fallback>
        </mc:AlternateContent>
      </w:r>
      <w:r w:rsidR="00A50B13" w:rsidRPr="00301792">
        <w:rPr>
          <w:b/>
          <w:bCs/>
          <w:sz w:val="26"/>
          <w:szCs w:val="26"/>
        </w:rPr>
        <w:t>L’offerta di petrolio</w:t>
      </w:r>
      <w:r w:rsidR="00A50B13" w:rsidRPr="00301792">
        <w:rPr>
          <w:sz w:val="26"/>
          <w:szCs w:val="26"/>
        </w:rPr>
        <w:t xml:space="preserve"> nel 2024</w:t>
      </w:r>
      <w:r w:rsidR="005C0E5E" w:rsidRPr="00301792">
        <w:rPr>
          <w:sz w:val="26"/>
          <w:szCs w:val="26"/>
        </w:rPr>
        <w:t xml:space="preserve"> </w:t>
      </w:r>
      <w:r w:rsidR="00C251AD" w:rsidRPr="00301792">
        <w:rPr>
          <w:sz w:val="26"/>
          <w:szCs w:val="26"/>
        </w:rPr>
        <w:t xml:space="preserve">è stata pari a 102,9 milioni b/g, con un progresso di </w:t>
      </w:r>
      <w:r w:rsidR="00B43572" w:rsidRPr="00301792">
        <w:rPr>
          <w:sz w:val="26"/>
          <w:szCs w:val="26"/>
        </w:rPr>
        <w:t>0,6 milioni</w:t>
      </w:r>
      <w:r w:rsidR="00C251AD" w:rsidRPr="00301792">
        <w:rPr>
          <w:sz w:val="26"/>
          <w:szCs w:val="26"/>
        </w:rPr>
        <w:t xml:space="preserve"> b/g rispetto al 2023</w:t>
      </w:r>
      <w:r w:rsidR="00201B48" w:rsidRPr="00301792">
        <w:rPr>
          <w:sz w:val="26"/>
          <w:szCs w:val="26"/>
        </w:rPr>
        <w:t>,</w:t>
      </w:r>
      <w:r w:rsidR="00717F06" w:rsidRPr="00301792">
        <w:rPr>
          <w:sz w:val="26"/>
          <w:szCs w:val="26"/>
        </w:rPr>
        <w:t xml:space="preserve"> a fronte dei 2,</w:t>
      </w:r>
      <w:r w:rsidR="002107D4">
        <w:rPr>
          <w:sz w:val="26"/>
          <w:szCs w:val="26"/>
        </w:rPr>
        <w:t>1</w:t>
      </w:r>
      <w:r w:rsidR="00717F06" w:rsidRPr="00301792">
        <w:rPr>
          <w:sz w:val="26"/>
          <w:szCs w:val="26"/>
        </w:rPr>
        <w:t xml:space="preserve"> milioni dell’anno ancora precedente</w:t>
      </w:r>
      <w:r w:rsidR="000362D4" w:rsidRPr="00301792">
        <w:rPr>
          <w:sz w:val="26"/>
          <w:szCs w:val="26"/>
        </w:rPr>
        <w:t xml:space="preserve">, </w:t>
      </w:r>
      <w:r w:rsidR="00201B48" w:rsidRPr="00301792">
        <w:rPr>
          <w:sz w:val="26"/>
          <w:szCs w:val="26"/>
        </w:rPr>
        <w:t>quale risultato</w:t>
      </w:r>
      <w:r w:rsidR="000362D4" w:rsidRPr="00301792">
        <w:rPr>
          <w:sz w:val="26"/>
          <w:szCs w:val="26"/>
        </w:rPr>
        <w:t xml:space="preserve"> </w:t>
      </w:r>
      <w:r w:rsidR="006B18C0">
        <w:rPr>
          <w:sz w:val="26"/>
          <w:szCs w:val="26"/>
        </w:rPr>
        <w:t>della</w:t>
      </w:r>
      <w:r w:rsidR="000362D4" w:rsidRPr="00301792">
        <w:rPr>
          <w:sz w:val="26"/>
          <w:szCs w:val="26"/>
        </w:rPr>
        <w:t xml:space="preserve"> </w:t>
      </w:r>
      <w:r w:rsidR="00654CFB" w:rsidRPr="00301792">
        <w:rPr>
          <w:sz w:val="26"/>
          <w:szCs w:val="26"/>
        </w:rPr>
        <w:t>gestione dei tagli</w:t>
      </w:r>
      <w:r w:rsidR="001F3C89" w:rsidRPr="00301792">
        <w:rPr>
          <w:sz w:val="26"/>
          <w:szCs w:val="26"/>
        </w:rPr>
        <w:t xml:space="preserve"> </w:t>
      </w:r>
      <w:r w:rsidR="00654CFB" w:rsidRPr="00301792">
        <w:rPr>
          <w:sz w:val="26"/>
          <w:szCs w:val="26"/>
        </w:rPr>
        <w:t>da parte</w:t>
      </w:r>
      <w:r w:rsidR="000362D4" w:rsidRPr="00301792">
        <w:rPr>
          <w:sz w:val="26"/>
          <w:szCs w:val="26"/>
        </w:rPr>
        <w:t xml:space="preserve"> dei Paesi Opec Plus</w:t>
      </w:r>
      <w:r w:rsidR="008F58B2">
        <w:rPr>
          <w:sz w:val="26"/>
          <w:szCs w:val="26"/>
        </w:rPr>
        <w:t>,</w:t>
      </w:r>
      <w:r w:rsidR="00AF37AD" w:rsidRPr="00301792">
        <w:rPr>
          <w:sz w:val="26"/>
          <w:szCs w:val="26"/>
        </w:rPr>
        <w:t xml:space="preserve"> </w:t>
      </w:r>
      <w:r w:rsidR="001D1EFA" w:rsidRPr="00301792">
        <w:rPr>
          <w:sz w:val="26"/>
          <w:szCs w:val="26"/>
        </w:rPr>
        <w:t xml:space="preserve">che hanno saputo </w:t>
      </w:r>
      <w:r w:rsidR="00223F6B" w:rsidRPr="00301792">
        <w:rPr>
          <w:sz w:val="26"/>
          <w:szCs w:val="26"/>
        </w:rPr>
        <w:t>adeguare</w:t>
      </w:r>
      <w:r w:rsidR="001D1EFA" w:rsidRPr="00301792">
        <w:rPr>
          <w:sz w:val="26"/>
          <w:szCs w:val="26"/>
        </w:rPr>
        <w:t xml:space="preserve"> l</w:t>
      </w:r>
      <w:r w:rsidR="00223F6B" w:rsidRPr="00301792">
        <w:rPr>
          <w:sz w:val="26"/>
          <w:szCs w:val="26"/>
        </w:rPr>
        <w:t xml:space="preserve">’offerta </w:t>
      </w:r>
      <w:r w:rsidR="00ED6C5D" w:rsidRPr="00301792">
        <w:rPr>
          <w:sz w:val="26"/>
          <w:szCs w:val="26"/>
        </w:rPr>
        <w:t>all’evoluzione sempre più incerta della domanda</w:t>
      </w:r>
      <w:r w:rsidR="00654CFB" w:rsidRPr="00301792">
        <w:rPr>
          <w:sz w:val="26"/>
          <w:szCs w:val="26"/>
        </w:rPr>
        <w:t>.</w:t>
      </w:r>
      <w:r w:rsidR="00ED65F7" w:rsidRPr="00301792">
        <w:rPr>
          <w:sz w:val="26"/>
          <w:szCs w:val="26"/>
        </w:rPr>
        <w:t xml:space="preserve"> </w:t>
      </w:r>
    </w:p>
    <w:p w14:paraId="2B832FB6" w14:textId="669F7556" w:rsidR="006511FE" w:rsidRPr="001407C4" w:rsidRDefault="00FD54EF" w:rsidP="00301792">
      <w:pPr>
        <w:ind w:right="1700"/>
        <w:jc w:val="both"/>
        <w:rPr>
          <w:sz w:val="26"/>
          <w:szCs w:val="26"/>
        </w:rPr>
      </w:pPr>
      <w:r w:rsidRPr="001407C4">
        <w:rPr>
          <w:b/>
          <w:bCs/>
          <w:noProof/>
          <w:sz w:val="26"/>
          <w:szCs w:val="26"/>
        </w:rPr>
        <mc:AlternateContent>
          <mc:Choice Requires="wps">
            <w:drawing>
              <wp:anchor distT="0" distB="0" distL="114300" distR="114300" simplePos="0" relativeHeight="251736064" behindDoc="0" locked="0" layoutInCell="1" allowOverlap="1" wp14:anchorId="02940230" wp14:editId="507B246F">
                <wp:simplePos x="0" y="0"/>
                <wp:positionH relativeFrom="column">
                  <wp:posOffset>5374640</wp:posOffset>
                </wp:positionH>
                <wp:positionV relativeFrom="paragraph">
                  <wp:posOffset>30480</wp:posOffset>
                </wp:positionV>
                <wp:extent cx="1017270" cy="309880"/>
                <wp:effectExtent l="0" t="0" r="11430" b="13970"/>
                <wp:wrapNone/>
                <wp:docPr id="1190395593"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C4C31E" w14:textId="00FB910E" w:rsidR="00FD54EF" w:rsidRPr="00301792" w:rsidRDefault="00FD54EF" w:rsidP="00FD54EF">
                            <w:pPr>
                              <w:jc w:val="center"/>
                              <w:rPr>
                                <w:b/>
                                <w:bCs/>
                                <w:sz w:val="28"/>
                                <w:szCs w:val="28"/>
                              </w:rPr>
                            </w:pPr>
                            <w:r w:rsidRPr="00301792">
                              <w:rPr>
                                <w:b/>
                                <w:bCs/>
                                <w:sz w:val="28"/>
                                <w:szCs w:val="28"/>
                              </w:rPr>
                              <w:t xml:space="preserve">Slide </w:t>
                            </w:r>
                            <w:r>
                              <w:rPr>
                                <w:b/>
                                <w:bCs/>
                                <w:sz w:val="28"/>
                                <w:szCs w:val="28"/>
                              </w:rPr>
                              <w:t>3</w:t>
                            </w:r>
                          </w:p>
                          <w:p w14:paraId="1F7E22C7" w14:textId="77777777" w:rsidR="00FD54EF" w:rsidRPr="00301792" w:rsidRDefault="00FD54EF" w:rsidP="00FD54EF">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40230" id="_x0000_s1030" style="position:absolute;left:0;text-align:left;margin-left:423.2pt;margin-top:2.4pt;width:80.1pt;height:2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" fillcolor="#0070c0" strokecolor="#0070c0" strokeweight="1pt">
                <v:textbox>
                  <w:txbxContent>
                    <w:p w14:paraId="28C4C31E" w14:textId="00FB910E" w:rsidR="00FD54EF" w:rsidRPr="00301792" w:rsidRDefault="00FD54EF" w:rsidP="00FD54EF">
                      <w:pPr>
                        <w:jc w:val="center"/>
                        <w:rPr>
                          <w:b/>
                          <w:bCs/>
                          <w:sz w:val="28"/>
                          <w:szCs w:val="28"/>
                        </w:rPr>
                      </w:pPr>
                      <w:r w:rsidRPr="00301792">
                        <w:rPr>
                          <w:b/>
                          <w:bCs/>
                          <w:sz w:val="28"/>
                          <w:szCs w:val="28"/>
                        </w:rPr>
                        <w:t xml:space="preserve">Slide </w:t>
                      </w:r>
                      <w:r>
                        <w:rPr>
                          <w:b/>
                          <w:bCs/>
                          <w:sz w:val="28"/>
                          <w:szCs w:val="28"/>
                        </w:rPr>
                        <w:t>3</w:t>
                      </w:r>
                    </w:p>
                    <w:p w14:paraId="1F7E22C7" w14:textId="77777777" w:rsidR="00FD54EF" w:rsidRPr="00301792" w:rsidRDefault="00FD54EF" w:rsidP="00FD54EF">
                      <w:pPr>
                        <w:jc w:val="center"/>
                        <w:rPr>
                          <w:b/>
                          <w:bCs/>
                          <w:sz w:val="28"/>
                          <w:szCs w:val="28"/>
                        </w:rPr>
                      </w:pPr>
                    </w:p>
                  </w:txbxContent>
                </v:textbox>
              </v:rect>
            </w:pict>
          </mc:Fallback>
        </mc:AlternateContent>
      </w:r>
      <w:r w:rsidR="007D034F" w:rsidRPr="001407C4">
        <w:rPr>
          <w:sz w:val="26"/>
          <w:szCs w:val="26"/>
        </w:rPr>
        <w:t xml:space="preserve">L’Opec Plus nel corso del </w:t>
      </w:r>
      <w:r w:rsidR="00390E6D" w:rsidRPr="001407C4">
        <w:rPr>
          <w:sz w:val="26"/>
          <w:szCs w:val="26"/>
        </w:rPr>
        <w:t xml:space="preserve">2022 e 2023 </w:t>
      </w:r>
      <w:r w:rsidR="007D034F" w:rsidRPr="001407C4">
        <w:rPr>
          <w:sz w:val="26"/>
          <w:szCs w:val="26"/>
        </w:rPr>
        <w:t>ha infatti progressivamente ridotto</w:t>
      </w:r>
      <w:r w:rsidR="00486ABB" w:rsidRPr="001407C4">
        <w:rPr>
          <w:sz w:val="26"/>
          <w:szCs w:val="26"/>
        </w:rPr>
        <w:t xml:space="preserve"> la produzione, tra tagli volontari e collettivi,</w:t>
      </w:r>
      <w:r w:rsidR="007D034F" w:rsidRPr="001407C4">
        <w:rPr>
          <w:sz w:val="26"/>
          <w:szCs w:val="26"/>
        </w:rPr>
        <w:t xml:space="preserve"> </w:t>
      </w:r>
      <w:r w:rsidR="006511FE" w:rsidRPr="001407C4">
        <w:rPr>
          <w:sz w:val="26"/>
          <w:szCs w:val="26"/>
        </w:rPr>
        <w:t>per un totale di</w:t>
      </w:r>
      <w:r w:rsidR="00C543DC" w:rsidRPr="001407C4">
        <w:rPr>
          <w:sz w:val="26"/>
          <w:szCs w:val="26"/>
        </w:rPr>
        <w:t xml:space="preserve"> circa</w:t>
      </w:r>
      <w:r w:rsidR="006511FE" w:rsidRPr="001407C4">
        <w:rPr>
          <w:sz w:val="26"/>
          <w:szCs w:val="26"/>
        </w:rPr>
        <w:t xml:space="preserve"> 5,</w:t>
      </w:r>
      <w:r w:rsidR="00C543DC" w:rsidRPr="001407C4">
        <w:rPr>
          <w:sz w:val="26"/>
          <w:szCs w:val="26"/>
        </w:rPr>
        <w:t>9</w:t>
      </w:r>
      <w:r w:rsidR="006511FE" w:rsidRPr="001407C4">
        <w:rPr>
          <w:sz w:val="26"/>
          <w:szCs w:val="26"/>
        </w:rPr>
        <w:t xml:space="preserve"> milioni b/g, ovvero il 6% dell</w:t>
      </w:r>
      <w:r w:rsidR="00486ABB" w:rsidRPr="001407C4">
        <w:rPr>
          <w:sz w:val="26"/>
          <w:szCs w:val="26"/>
        </w:rPr>
        <w:t>’offerta globale.</w:t>
      </w:r>
      <w:r w:rsidR="00390E6D" w:rsidRPr="001407C4">
        <w:rPr>
          <w:sz w:val="26"/>
          <w:szCs w:val="26"/>
        </w:rPr>
        <w:t xml:space="preserve"> </w:t>
      </w:r>
      <w:r w:rsidR="00486ABB" w:rsidRPr="001407C4">
        <w:rPr>
          <w:sz w:val="26"/>
          <w:szCs w:val="26"/>
        </w:rPr>
        <w:t xml:space="preserve">Strategia confermata </w:t>
      </w:r>
      <w:r w:rsidR="00C271FA" w:rsidRPr="001407C4">
        <w:rPr>
          <w:sz w:val="26"/>
          <w:szCs w:val="26"/>
        </w:rPr>
        <w:t xml:space="preserve">a </w:t>
      </w:r>
      <w:r w:rsidR="00C271FA" w:rsidRPr="001407C4">
        <w:rPr>
          <w:sz w:val="26"/>
          <w:szCs w:val="26"/>
        </w:rPr>
        <w:lastRenderedPageBreak/>
        <w:t xml:space="preserve">più riprese </w:t>
      </w:r>
      <w:r w:rsidR="00486ABB" w:rsidRPr="001407C4">
        <w:rPr>
          <w:sz w:val="26"/>
          <w:szCs w:val="26"/>
        </w:rPr>
        <w:t xml:space="preserve">nel </w:t>
      </w:r>
      <w:r w:rsidR="00C271FA" w:rsidRPr="001407C4">
        <w:rPr>
          <w:sz w:val="26"/>
          <w:szCs w:val="26"/>
        </w:rPr>
        <w:t xml:space="preserve">corso del </w:t>
      </w:r>
      <w:r w:rsidR="00486ABB" w:rsidRPr="001407C4">
        <w:rPr>
          <w:sz w:val="26"/>
          <w:szCs w:val="26"/>
        </w:rPr>
        <w:t>2024</w:t>
      </w:r>
      <w:r w:rsidR="00C271FA" w:rsidRPr="001407C4">
        <w:rPr>
          <w:sz w:val="26"/>
          <w:szCs w:val="26"/>
        </w:rPr>
        <w:t xml:space="preserve"> e </w:t>
      </w:r>
      <w:r w:rsidR="0031382C" w:rsidRPr="001407C4">
        <w:rPr>
          <w:sz w:val="26"/>
          <w:szCs w:val="26"/>
        </w:rPr>
        <w:t>ricalibrata</w:t>
      </w:r>
      <w:r w:rsidR="007A32B3" w:rsidRPr="001407C4">
        <w:rPr>
          <w:sz w:val="26"/>
          <w:szCs w:val="26"/>
        </w:rPr>
        <w:t xml:space="preserve"> per i prossimi anni</w:t>
      </w:r>
      <w:r w:rsidR="00C271FA" w:rsidRPr="001407C4">
        <w:rPr>
          <w:sz w:val="26"/>
          <w:szCs w:val="26"/>
        </w:rPr>
        <w:t xml:space="preserve"> in occasione </w:t>
      </w:r>
      <w:r w:rsidR="0031382C" w:rsidRPr="001407C4">
        <w:rPr>
          <w:sz w:val="26"/>
          <w:szCs w:val="26"/>
        </w:rPr>
        <w:t>del vertice del 5 dicembre</w:t>
      </w:r>
      <w:r w:rsidR="00DA1B4E" w:rsidRPr="001407C4">
        <w:rPr>
          <w:sz w:val="26"/>
          <w:szCs w:val="26"/>
        </w:rPr>
        <w:t xml:space="preserve"> scorso,</w:t>
      </w:r>
      <w:r w:rsidR="0031382C" w:rsidRPr="001407C4">
        <w:rPr>
          <w:sz w:val="26"/>
          <w:szCs w:val="26"/>
        </w:rPr>
        <w:t xml:space="preserve"> </w:t>
      </w:r>
      <w:r w:rsidR="001407C4">
        <w:rPr>
          <w:sz w:val="26"/>
          <w:szCs w:val="26"/>
        </w:rPr>
        <w:t>che ha stabilito</w:t>
      </w:r>
      <w:r w:rsidR="0031382C" w:rsidRPr="001407C4">
        <w:rPr>
          <w:sz w:val="26"/>
          <w:szCs w:val="26"/>
        </w:rPr>
        <w:t xml:space="preserve"> di </w:t>
      </w:r>
      <w:r w:rsidR="00C543DC" w:rsidRPr="001407C4">
        <w:rPr>
          <w:sz w:val="26"/>
          <w:szCs w:val="26"/>
        </w:rPr>
        <w:t>ritirare</w:t>
      </w:r>
      <w:r w:rsidR="004508C2" w:rsidRPr="001407C4">
        <w:rPr>
          <w:sz w:val="26"/>
          <w:szCs w:val="26"/>
        </w:rPr>
        <w:t xml:space="preserve"> </w:t>
      </w:r>
      <w:r w:rsidR="00F0391F" w:rsidRPr="001407C4">
        <w:rPr>
          <w:sz w:val="26"/>
          <w:szCs w:val="26"/>
        </w:rPr>
        <w:t xml:space="preserve">quelli volontari (pari </w:t>
      </w:r>
      <w:r w:rsidR="00C52CBC">
        <w:rPr>
          <w:sz w:val="26"/>
          <w:szCs w:val="26"/>
        </w:rPr>
        <w:t xml:space="preserve">a </w:t>
      </w:r>
      <w:r w:rsidR="00F0391F" w:rsidRPr="001407C4">
        <w:rPr>
          <w:sz w:val="26"/>
          <w:szCs w:val="26"/>
        </w:rPr>
        <w:t xml:space="preserve">2,2 milioni b/g) </w:t>
      </w:r>
      <w:r w:rsidR="00DA1B4E" w:rsidRPr="001407C4">
        <w:rPr>
          <w:sz w:val="26"/>
          <w:szCs w:val="26"/>
        </w:rPr>
        <w:t xml:space="preserve">in un </w:t>
      </w:r>
      <w:r w:rsidR="004508C2" w:rsidRPr="001407C4">
        <w:rPr>
          <w:sz w:val="26"/>
          <w:szCs w:val="26"/>
        </w:rPr>
        <w:t>arco di 18 mesi</w:t>
      </w:r>
      <w:r w:rsidR="00C52CBC">
        <w:rPr>
          <w:sz w:val="26"/>
          <w:szCs w:val="26"/>
        </w:rPr>
        <w:t>,</w:t>
      </w:r>
      <w:r w:rsidR="004508C2" w:rsidRPr="001407C4">
        <w:rPr>
          <w:sz w:val="26"/>
          <w:szCs w:val="26"/>
        </w:rPr>
        <w:t xml:space="preserve"> anziché </w:t>
      </w:r>
      <w:r w:rsidR="00DA1B4E" w:rsidRPr="001407C4">
        <w:rPr>
          <w:sz w:val="26"/>
          <w:szCs w:val="26"/>
        </w:rPr>
        <w:t>dei</w:t>
      </w:r>
      <w:r w:rsidR="004508C2" w:rsidRPr="001407C4">
        <w:rPr>
          <w:sz w:val="26"/>
          <w:szCs w:val="26"/>
        </w:rPr>
        <w:t xml:space="preserve"> 12 </w:t>
      </w:r>
      <w:r w:rsidR="00DA1B4E" w:rsidRPr="001407C4">
        <w:rPr>
          <w:sz w:val="26"/>
          <w:szCs w:val="26"/>
        </w:rPr>
        <w:t>indicati</w:t>
      </w:r>
      <w:r w:rsidR="004508C2" w:rsidRPr="001407C4">
        <w:rPr>
          <w:sz w:val="26"/>
          <w:szCs w:val="26"/>
        </w:rPr>
        <w:t xml:space="preserve"> precedentemente,</w:t>
      </w:r>
      <w:r w:rsidR="00F0391F" w:rsidRPr="001407C4">
        <w:rPr>
          <w:sz w:val="26"/>
          <w:szCs w:val="26"/>
        </w:rPr>
        <w:t xml:space="preserve"> </w:t>
      </w:r>
      <w:r w:rsidR="004508C2" w:rsidRPr="001407C4">
        <w:rPr>
          <w:sz w:val="26"/>
          <w:szCs w:val="26"/>
        </w:rPr>
        <w:t xml:space="preserve">confermando invece quelli collettivi (3,66 milioni b/g) </w:t>
      </w:r>
      <w:r w:rsidR="00950709" w:rsidRPr="001407C4">
        <w:rPr>
          <w:sz w:val="26"/>
          <w:szCs w:val="26"/>
        </w:rPr>
        <w:t>fino a dicembre 2026</w:t>
      </w:r>
      <w:r w:rsidR="00F0391F" w:rsidRPr="001407C4">
        <w:rPr>
          <w:sz w:val="26"/>
          <w:szCs w:val="26"/>
        </w:rPr>
        <w:t xml:space="preserve">. </w:t>
      </w:r>
      <w:r w:rsidR="00E105E5" w:rsidRPr="001407C4">
        <w:rPr>
          <w:sz w:val="26"/>
          <w:szCs w:val="26"/>
        </w:rPr>
        <w:t xml:space="preserve">Una mossa che </w:t>
      </w:r>
      <w:r w:rsidR="00CB6201" w:rsidRPr="001407C4">
        <w:rPr>
          <w:sz w:val="26"/>
          <w:szCs w:val="26"/>
        </w:rPr>
        <w:t xml:space="preserve">esprime chiaramente quanto i Paesi che aderiscono all’Opec Plus </w:t>
      </w:r>
      <w:r w:rsidR="00DA1B4E" w:rsidRPr="001407C4">
        <w:rPr>
          <w:sz w:val="26"/>
          <w:szCs w:val="26"/>
        </w:rPr>
        <w:t>si attendano</w:t>
      </w:r>
      <w:r w:rsidR="007A32B3" w:rsidRPr="001407C4">
        <w:rPr>
          <w:sz w:val="26"/>
          <w:szCs w:val="26"/>
        </w:rPr>
        <w:t xml:space="preserve"> </w:t>
      </w:r>
      <w:r w:rsidR="00DA1B4E" w:rsidRPr="001407C4">
        <w:rPr>
          <w:sz w:val="26"/>
          <w:szCs w:val="26"/>
        </w:rPr>
        <w:t>una persistente</w:t>
      </w:r>
      <w:r w:rsidR="00835D8E" w:rsidRPr="001407C4">
        <w:rPr>
          <w:sz w:val="26"/>
          <w:szCs w:val="26"/>
        </w:rPr>
        <w:t xml:space="preserve"> debolezz</w:t>
      </w:r>
      <w:r w:rsidR="00DA1B4E" w:rsidRPr="001407C4">
        <w:rPr>
          <w:sz w:val="26"/>
          <w:szCs w:val="26"/>
        </w:rPr>
        <w:t>a</w:t>
      </w:r>
      <w:r w:rsidR="00835D8E" w:rsidRPr="001407C4">
        <w:rPr>
          <w:sz w:val="26"/>
          <w:szCs w:val="26"/>
        </w:rPr>
        <w:t xml:space="preserve"> </w:t>
      </w:r>
      <w:r w:rsidR="00A93934" w:rsidRPr="001407C4">
        <w:rPr>
          <w:sz w:val="26"/>
          <w:szCs w:val="26"/>
        </w:rPr>
        <w:t>della</w:t>
      </w:r>
      <w:r w:rsidR="00835D8E" w:rsidRPr="001407C4">
        <w:rPr>
          <w:sz w:val="26"/>
          <w:szCs w:val="26"/>
        </w:rPr>
        <w:t xml:space="preserve"> domanda</w:t>
      </w:r>
      <w:r w:rsidR="00A93934" w:rsidRPr="001407C4">
        <w:rPr>
          <w:sz w:val="26"/>
          <w:szCs w:val="26"/>
        </w:rPr>
        <w:t>,</w:t>
      </w:r>
      <w:r w:rsidR="007A32B3" w:rsidRPr="001407C4">
        <w:rPr>
          <w:sz w:val="26"/>
          <w:szCs w:val="26"/>
        </w:rPr>
        <w:t xml:space="preserve"> nonostante gli annunci, </w:t>
      </w:r>
      <w:r w:rsidR="00A93934" w:rsidRPr="001407C4">
        <w:rPr>
          <w:sz w:val="26"/>
          <w:szCs w:val="26"/>
        </w:rPr>
        <w:t>nonché</w:t>
      </w:r>
      <w:r w:rsidR="00835D8E" w:rsidRPr="001407C4">
        <w:rPr>
          <w:sz w:val="26"/>
          <w:szCs w:val="26"/>
        </w:rPr>
        <w:t xml:space="preserve"> </w:t>
      </w:r>
      <w:r w:rsidR="00DA1B4E" w:rsidRPr="001407C4">
        <w:rPr>
          <w:sz w:val="26"/>
          <w:szCs w:val="26"/>
        </w:rPr>
        <w:t>la</w:t>
      </w:r>
      <w:r w:rsidR="00F641C8" w:rsidRPr="001407C4">
        <w:rPr>
          <w:sz w:val="26"/>
          <w:szCs w:val="26"/>
        </w:rPr>
        <w:t xml:space="preserve"> </w:t>
      </w:r>
      <w:r w:rsidR="00C4073A" w:rsidRPr="001407C4">
        <w:rPr>
          <w:sz w:val="26"/>
          <w:szCs w:val="26"/>
        </w:rPr>
        <w:t xml:space="preserve">forte crescita </w:t>
      </w:r>
      <w:r w:rsidR="007A32B3" w:rsidRPr="001407C4">
        <w:rPr>
          <w:sz w:val="26"/>
          <w:szCs w:val="26"/>
        </w:rPr>
        <w:t xml:space="preserve">dell’offerta </w:t>
      </w:r>
      <w:r w:rsidR="00C4073A" w:rsidRPr="001407C4">
        <w:rPr>
          <w:sz w:val="26"/>
          <w:szCs w:val="26"/>
        </w:rPr>
        <w:t>dei Paesi non</w:t>
      </w:r>
      <w:r w:rsidR="00D05689" w:rsidRPr="001407C4">
        <w:rPr>
          <w:sz w:val="26"/>
          <w:szCs w:val="26"/>
        </w:rPr>
        <w:t>-</w:t>
      </w:r>
      <w:r w:rsidR="00C4073A" w:rsidRPr="001407C4">
        <w:rPr>
          <w:sz w:val="26"/>
          <w:szCs w:val="26"/>
        </w:rPr>
        <w:t xml:space="preserve">Opec, in primo luogo </w:t>
      </w:r>
      <w:r w:rsidR="00F641C8" w:rsidRPr="001407C4">
        <w:rPr>
          <w:sz w:val="26"/>
          <w:szCs w:val="26"/>
        </w:rPr>
        <w:t xml:space="preserve">di </w:t>
      </w:r>
      <w:r w:rsidR="00C4073A" w:rsidRPr="001407C4">
        <w:rPr>
          <w:sz w:val="26"/>
          <w:szCs w:val="26"/>
        </w:rPr>
        <w:t>Stati Uniti e Canada</w:t>
      </w:r>
      <w:r w:rsidR="00DE21A4" w:rsidRPr="001407C4">
        <w:rPr>
          <w:sz w:val="26"/>
          <w:szCs w:val="26"/>
        </w:rPr>
        <w:t xml:space="preserve"> che ad oggi contano </w:t>
      </w:r>
      <w:r w:rsidR="00DA1B4E" w:rsidRPr="001407C4">
        <w:rPr>
          <w:sz w:val="26"/>
          <w:szCs w:val="26"/>
        </w:rPr>
        <w:t xml:space="preserve">per oltre un quarto </w:t>
      </w:r>
      <w:r w:rsidR="00DE21A4" w:rsidRPr="001407C4">
        <w:rPr>
          <w:sz w:val="26"/>
          <w:szCs w:val="26"/>
        </w:rPr>
        <w:t>dell’offerta totale</w:t>
      </w:r>
      <w:r w:rsidR="00D05689" w:rsidRPr="001407C4">
        <w:rPr>
          <w:sz w:val="26"/>
          <w:szCs w:val="26"/>
        </w:rPr>
        <w:t>.</w:t>
      </w:r>
    </w:p>
    <w:p w14:paraId="13DB118D" w14:textId="0166190A" w:rsidR="002C22F6" w:rsidRPr="00301792" w:rsidRDefault="00CA67EB" w:rsidP="00301792">
      <w:pPr>
        <w:ind w:right="1700"/>
        <w:jc w:val="both"/>
        <w:rPr>
          <w:sz w:val="26"/>
          <w:szCs w:val="26"/>
        </w:rPr>
      </w:pPr>
      <w:r w:rsidRPr="001407C4">
        <w:rPr>
          <w:sz w:val="26"/>
          <w:szCs w:val="26"/>
        </w:rPr>
        <w:t xml:space="preserve">Tagli prolungati che hanno permesso </w:t>
      </w:r>
      <w:r w:rsidR="004C2BCA" w:rsidRPr="001407C4">
        <w:rPr>
          <w:sz w:val="26"/>
          <w:szCs w:val="26"/>
        </w:rPr>
        <w:t>alla</w:t>
      </w:r>
      <w:r w:rsidRPr="001407C4">
        <w:rPr>
          <w:sz w:val="26"/>
          <w:szCs w:val="26"/>
        </w:rPr>
        <w:t xml:space="preserve"> </w:t>
      </w:r>
      <w:r w:rsidRPr="001407C4">
        <w:rPr>
          <w:i/>
          <w:iCs/>
          <w:sz w:val="26"/>
          <w:szCs w:val="26"/>
        </w:rPr>
        <w:t>spare capacity</w:t>
      </w:r>
      <w:r w:rsidRPr="001407C4">
        <w:rPr>
          <w:sz w:val="26"/>
          <w:szCs w:val="26"/>
        </w:rPr>
        <w:t xml:space="preserve"> </w:t>
      </w:r>
      <w:r w:rsidR="004C2BCA" w:rsidRPr="001407C4">
        <w:rPr>
          <w:sz w:val="26"/>
          <w:szCs w:val="26"/>
        </w:rPr>
        <w:t>di superare i</w:t>
      </w:r>
      <w:r w:rsidRPr="001407C4">
        <w:rPr>
          <w:sz w:val="26"/>
          <w:szCs w:val="26"/>
        </w:rPr>
        <w:t xml:space="preserve"> 6 milioni </w:t>
      </w:r>
      <w:r w:rsidR="000F253E" w:rsidRPr="001407C4">
        <w:rPr>
          <w:sz w:val="26"/>
          <w:szCs w:val="26"/>
        </w:rPr>
        <w:t>b/g,</w:t>
      </w:r>
      <w:r w:rsidRPr="001407C4">
        <w:rPr>
          <w:sz w:val="26"/>
          <w:szCs w:val="26"/>
        </w:rPr>
        <w:t xml:space="preserve"> </w:t>
      </w:r>
      <w:r w:rsidR="001F13BF" w:rsidRPr="001407C4">
        <w:rPr>
          <w:sz w:val="26"/>
          <w:szCs w:val="26"/>
        </w:rPr>
        <w:t xml:space="preserve">di cui la metà </w:t>
      </w:r>
      <w:r w:rsidRPr="001407C4">
        <w:rPr>
          <w:sz w:val="26"/>
          <w:szCs w:val="26"/>
        </w:rPr>
        <w:t>concentrat</w:t>
      </w:r>
      <w:r w:rsidR="00FB16D5" w:rsidRPr="001407C4">
        <w:rPr>
          <w:sz w:val="26"/>
          <w:szCs w:val="26"/>
        </w:rPr>
        <w:t>a</w:t>
      </w:r>
      <w:r w:rsidRPr="001407C4">
        <w:rPr>
          <w:sz w:val="26"/>
          <w:szCs w:val="26"/>
        </w:rPr>
        <w:t xml:space="preserve"> </w:t>
      </w:r>
      <w:r w:rsidR="001F13BF" w:rsidRPr="001407C4">
        <w:rPr>
          <w:sz w:val="26"/>
          <w:szCs w:val="26"/>
        </w:rPr>
        <w:t xml:space="preserve">nella sola </w:t>
      </w:r>
      <w:r w:rsidRPr="001407C4">
        <w:rPr>
          <w:sz w:val="26"/>
          <w:szCs w:val="26"/>
        </w:rPr>
        <w:t xml:space="preserve">Arabia Saudita. </w:t>
      </w:r>
      <w:r w:rsidR="001F13BF" w:rsidRPr="001407C4">
        <w:rPr>
          <w:sz w:val="26"/>
          <w:szCs w:val="26"/>
        </w:rPr>
        <w:t>Un fattore che</w:t>
      </w:r>
      <w:r w:rsidR="00A41C49" w:rsidRPr="001407C4">
        <w:rPr>
          <w:sz w:val="26"/>
          <w:szCs w:val="26"/>
        </w:rPr>
        <w:t>,</w:t>
      </w:r>
      <w:r w:rsidRPr="001407C4">
        <w:rPr>
          <w:sz w:val="26"/>
          <w:szCs w:val="26"/>
        </w:rPr>
        <w:t xml:space="preserve"> </w:t>
      </w:r>
      <w:r w:rsidR="001F13BF" w:rsidRPr="001407C4">
        <w:rPr>
          <w:sz w:val="26"/>
          <w:szCs w:val="26"/>
        </w:rPr>
        <w:t>insieme al consiste</w:t>
      </w:r>
      <w:r w:rsidR="004C2BCA" w:rsidRPr="001407C4">
        <w:rPr>
          <w:sz w:val="26"/>
          <w:szCs w:val="26"/>
        </w:rPr>
        <w:t>n</w:t>
      </w:r>
      <w:r w:rsidR="001F13BF" w:rsidRPr="001407C4">
        <w:rPr>
          <w:sz w:val="26"/>
          <w:szCs w:val="26"/>
        </w:rPr>
        <w:t>te apporto degli Stati Uniti</w:t>
      </w:r>
      <w:r w:rsidR="00ED795F" w:rsidRPr="001407C4">
        <w:rPr>
          <w:sz w:val="26"/>
          <w:szCs w:val="26"/>
        </w:rPr>
        <w:t>,</w:t>
      </w:r>
      <w:r w:rsidR="001F13BF" w:rsidRPr="001407C4">
        <w:rPr>
          <w:sz w:val="26"/>
          <w:szCs w:val="26"/>
        </w:rPr>
        <w:t xml:space="preserve"> </w:t>
      </w:r>
      <w:r w:rsidR="00B43572" w:rsidRPr="001407C4">
        <w:rPr>
          <w:sz w:val="26"/>
          <w:szCs w:val="26"/>
        </w:rPr>
        <w:t>confermat</w:t>
      </w:r>
      <w:r w:rsidR="004B4FCA" w:rsidRPr="001407C4">
        <w:rPr>
          <w:sz w:val="26"/>
          <w:szCs w:val="26"/>
        </w:rPr>
        <w:t>i</w:t>
      </w:r>
      <w:r w:rsidR="00B43572" w:rsidRPr="001407C4">
        <w:rPr>
          <w:sz w:val="26"/>
          <w:szCs w:val="26"/>
        </w:rPr>
        <w:t xml:space="preserve">si </w:t>
      </w:r>
      <w:r w:rsidR="00481BA8" w:rsidRPr="001407C4">
        <w:rPr>
          <w:sz w:val="26"/>
          <w:szCs w:val="26"/>
        </w:rPr>
        <w:t>anche nel 2024 primi produttori mondiali</w:t>
      </w:r>
      <w:r w:rsidR="004C2BCA" w:rsidRPr="001407C4">
        <w:rPr>
          <w:sz w:val="26"/>
          <w:szCs w:val="26"/>
        </w:rPr>
        <w:t xml:space="preserve"> con </w:t>
      </w:r>
      <w:r w:rsidR="007A32B3" w:rsidRPr="001407C4">
        <w:rPr>
          <w:sz w:val="26"/>
          <w:szCs w:val="26"/>
        </w:rPr>
        <w:t>oltre</w:t>
      </w:r>
      <w:r w:rsidR="004C2BCA" w:rsidRPr="001407C4">
        <w:rPr>
          <w:sz w:val="26"/>
          <w:szCs w:val="26"/>
        </w:rPr>
        <w:t xml:space="preserve"> 2</w:t>
      </w:r>
      <w:r w:rsidR="007A32B3" w:rsidRPr="001407C4">
        <w:rPr>
          <w:sz w:val="26"/>
          <w:szCs w:val="26"/>
        </w:rPr>
        <w:t>0</w:t>
      </w:r>
      <w:r w:rsidR="004C2BCA" w:rsidRPr="001407C4">
        <w:rPr>
          <w:sz w:val="26"/>
          <w:szCs w:val="26"/>
        </w:rPr>
        <w:t xml:space="preserve"> milioni b/g</w:t>
      </w:r>
      <w:r w:rsidR="004B4FCA" w:rsidRPr="001407C4">
        <w:rPr>
          <w:sz w:val="26"/>
          <w:szCs w:val="26"/>
        </w:rPr>
        <w:t>,</w:t>
      </w:r>
      <w:r w:rsidR="009611DD" w:rsidRPr="001407C4">
        <w:rPr>
          <w:sz w:val="26"/>
          <w:szCs w:val="26"/>
        </w:rPr>
        <w:t xml:space="preserve"> </w:t>
      </w:r>
      <w:r w:rsidR="00F01744" w:rsidRPr="001407C4">
        <w:rPr>
          <w:sz w:val="26"/>
          <w:szCs w:val="26"/>
        </w:rPr>
        <w:t>ha contribuito</w:t>
      </w:r>
      <w:r w:rsidRPr="001407C4">
        <w:rPr>
          <w:sz w:val="26"/>
          <w:szCs w:val="26"/>
        </w:rPr>
        <w:t xml:space="preserve"> </w:t>
      </w:r>
      <w:r w:rsidR="004C2BCA" w:rsidRPr="001407C4">
        <w:rPr>
          <w:sz w:val="26"/>
          <w:szCs w:val="26"/>
        </w:rPr>
        <w:t>a</w:t>
      </w:r>
      <w:r w:rsidRPr="001407C4">
        <w:rPr>
          <w:sz w:val="26"/>
          <w:szCs w:val="26"/>
        </w:rPr>
        <w:t xml:space="preserve">lla </w:t>
      </w:r>
      <w:r w:rsidR="001F13BF" w:rsidRPr="001407C4">
        <w:rPr>
          <w:sz w:val="26"/>
          <w:szCs w:val="26"/>
        </w:rPr>
        <w:t xml:space="preserve">sostanziale </w:t>
      </w:r>
      <w:r w:rsidRPr="001407C4">
        <w:rPr>
          <w:sz w:val="26"/>
          <w:szCs w:val="26"/>
        </w:rPr>
        <w:t xml:space="preserve">stabilità </w:t>
      </w:r>
      <w:r w:rsidR="001F13BF" w:rsidRPr="001407C4">
        <w:rPr>
          <w:sz w:val="26"/>
          <w:szCs w:val="26"/>
        </w:rPr>
        <w:t>dei mercati</w:t>
      </w:r>
      <w:r w:rsidR="009611DD" w:rsidRPr="001407C4">
        <w:rPr>
          <w:sz w:val="26"/>
          <w:szCs w:val="26"/>
        </w:rPr>
        <w:t>.</w:t>
      </w:r>
      <w:r w:rsidRPr="00301792">
        <w:rPr>
          <w:sz w:val="26"/>
          <w:szCs w:val="26"/>
        </w:rPr>
        <w:t xml:space="preserve"> </w:t>
      </w:r>
      <w:r w:rsidR="001F13BF" w:rsidRPr="00301792">
        <w:rPr>
          <w:sz w:val="26"/>
          <w:szCs w:val="26"/>
        </w:rPr>
        <w:t xml:space="preserve"> </w:t>
      </w:r>
    </w:p>
    <w:p w14:paraId="0284B8D3" w14:textId="11A232CA" w:rsidR="00715EE5" w:rsidRPr="00301792" w:rsidRDefault="00FD54EF" w:rsidP="00301792">
      <w:pPr>
        <w:ind w:right="1700"/>
        <w:jc w:val="both"/>
        <w:rPr>
          <w:sz w:val="26"/>
          <w:szCs w:val="26"/>
        </w:rPr>
      </w:pPr>
      <w:r>
        <w:rPr>
          <w:b/>
          <w:bCs/>
          <w:noProof/>
          <w:sz w:val="26"/>
          <w:szCs w:val="26"/>
        </w:rPr>
        <mc:AlternateContent>
          <mc:Choice Requires="wps">
            <w:drawing>
              <wp:anchor distT="0" distB="0" distL="114300" distR="114300" simplePos="0" relativeHeight="251738112" behindDoc="0" locked="0" layoutInCell="1" allowOverlap="1" wp14:anchorId="0C456065" wp14:editId="762BAF23">
                <wp:simplePos x="0" y="0"/>
                <wp:positionH relativeFrom="column">
                  <wp:posOffset>5378450</wp:posOffset>
                </wp:positionH>
                <wp:positionV relativeFrom="paragraph">
                  <wp:posOffset>50800</wp:posOffset>
                </wp:positionV>
                <wp:extent cx="1017270" cy="309880"/>
                <wp:effectExtent l="0" t="0" r="11430" b="13970"/>
                <wp:wrapNone/>
                <wp:docPr id="1294357496"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D59815" w14:textId="1A40CF4D" w:rsidR="00FD54EF" w:rsidRPr="00301792" w:rsidRDefault="00FD54EF" w:rsidP="00FD54EF">
                            <w:pPr>
                              <w:jc w:val="center"/>
                              <w:rPr>
                                <w:b/>
                                <w:bCs/>
                                <w:sz w:val="28"/>
                                <w:szCs w:val="28"/>
                              </w:rPr>
                            </w:pPr>
                            <w:r w:rsidRPr="00301792">
                              <w:rPr>
                                <w:b/>
                                <w:bCs/>
                                <w:sz w:val="28"/>
                                <w:szCs w:val="28"/>
                              </w:rPr>
                              <w:t xml:space="preserve">Slide </w:t>
                            </w:r>
                            <w:r>
                              <w:rPr>
                                <w:b/>
                                <w:bCs/>
                                <w:sz w:val="28"/>
                                <w:szCs w:val="28"/>
                              </w:rPr>
                              <w:t>4</w:t>
                            </w:r>
                            <w:r w:rsidR="005B7094">
                              <w:rPr>
                                <w:b/>
                                <w:bCs/>
                                <w:sz w:val="28"/>
                                <w:szCs w:val="28"/>
                              </w:rPr>
                              <w:t xml:space="preserve"> </w:t>
                            </w:r>
                          </w:p>
                          <w:p w14:paraId="16384901" w14:textId="77777777" w:rsidR="00FD54EF" w:rsidRPr="00301792" w:rsidRDefault="00FD54EF" w:rsidP="00FD54EF">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56065" id="_x0000_s1031" style="position:absolute;left:0;text-align:left;margin-left:423.5pt;margin-top:4pt;width:80.1pt;height:2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hgiAIAAJo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" fillcolor="#0070c0" strokecolor="#0070c0" strokeweight="1pt">
                <v:textbox>
                  <w:txbxContent>
                    <w:p w14:paraId="4DD59815" w14:textId="1A40CF4D" w:rsidR="00FD54EF" w:rsidRPr="00301792" w:rsidRDefault="00FD54EF" w:rsidP="00FD54EF">
                      <w:pPr>
                        <w:jc w:val="center"/>
                        <w:rPr>
                          <w:b/>
                          <w:bCs/>
                          <w:sz w:val="28"/>
                          <w:szCs w:val="28"/>
                        </w:rPr>
                      </w:pPr>
                      <w:r w:rsidRPr="00301792">
                        <w:rPr>
                          <w:b/>
                          <w:bCs/>
                          <w:sz w:val="28"/>
                          <w:szCs w:val="28"/>
                        </w:rPr>
                        <w:t xml:space="preserve">Slide </w:t>
                      </w:r>
                      <w:r>
                        <w:rPr>
                          <w:b/>
                          <w:bCs/>
                          <w:sz w:val="28"/>
                          <w:szCs w:val="28"/>
                        </w:rPr>
                        <w:t>4</w:t>
                      </w:r>
                      <w:r w:rsidR="005B7094">
                        <w:rPr>
                          <w:b/>
                          <w:bCs/>
                          <w:sz w:val="28"/>
                          <w:szCs w:val="28"/>
                        </w:rPr>
                        <w:t xml:space="preserve"> </w:t>
                      </w:r>
                    </w:p>
                    <w:p w14:paraId="16384901" w14:textId="77777777" w:rsidR="00FD54EF" w:rsidRPr="00301792" w:rsidRDefault="00FD54EF" w:rsidP="00FD54EF">
                      <w:pPr>
                        <w:jc w:val="center"/>
                        <w:rPr>
                          <w:b/>
                          <w:bCs/>
                          <w:sz w:val="28"/>
                          <w:szCs w:val="28"/>
                        </w:rPr>
                      </w:pPr>
                    </w:p>
                  </w:txbxContent>
                </v:textbox>
              </v:rect>
            </w:pict>
          </mc:Fallback>
        </mc:AlternateContent>
      </w:r>
      <w:r w:rsidR="003D5015" w:rsidRPr="00301792">
        <w:rPr>
          <w:sz w:val="26"/>
          <w:szCs w:val="26"/>
        </w:rPr>
        <w:t xml:space="preserve">In questo quadro i </w:t>
      </w:r>
      <w:r w:rsidR="003D5015" w:rsidRPr="00301792">
        <w:rPr>
          <w:b/>
          <w:bCs/>
          <w:sz w:val="26"/>
          <w:szCs w:val="26"/>
        </w:rPr>
        <w:t>prezzi del Brent</w:t>
      </w:r>
      <w:r w:rsidR="003D5015" w:rsidRPr="00301792">
        <w:rPr>
          <w:sz w:val="26"/>
          <w:szCs w:val="26"/>
        </w:rPr>
        <w:t xml:space="preserve"> </w:t>
      </w:r>
      <w:r w:rsidR="00EB6F9D" w:rsidRPr="00301792">
        <w:rPr>
          <w:sz w:val="26"/>
          <w:szCs w:val="26"/>
        </w:rPr>
        <w:t xml:space="preserve">nel corso dell’anno </w:t>
      </w:r>
      <w:r w:rsidR="00452ECA" w:rsidRPr="00301792">
        <w:rPr>
          <w:sz w:val="26"/>
          <w:szCs w:val="26"/>
        </w:rPr>
        <w:t xml:space="preserve">hanno oscillato </w:t>
      </w:r>
      <w:r w:rsidR="00EA305B" w:rsidRPr="00301792">
        <w:rPr>
          <w:sz w:val="26"/>
          <w:szCs w:val="26"/>
        </w:rPr>
        <w:t>tra i 70 e i 9</w:t>
      </w:r>
      <w:r w:rsidR="001F0804">
        <w:rPr>
          <w:sz w:val="26"/>
          <w:szCs w:val="26"/>
        </w:rPr>
        <w:t>0</w:t>
      </w:r>
      <w:r w:rsidR="00EA305B" w:rsidRPr="00301792">
        <w:rPr>
          <w:sz w:val="26"/>
          <w:szCs w:val="26"/>
        </w:rPr>
        <w:t xml:space="preserve"> dollari/barile</w:t>
      </w:r>
      <w:r w:rsidR="00C92872" w:rsidRPr="00301792">
        <w:rPr>
          <w:sz w:val="26"/>
          <w:szCs w:val="26"/>
        </w:rPr>
        <w:t>,</w:t>
      </w:r>
      <w:r w:rsidR="00EA305B" w:rsidRPr="00301792">
        <w:rPr>
          <w:sz w:val="26"/>
          <w:szCs w:val="26"/>
        </w:rPr>
        <w:t xml:space="preserve"> </w:t>
      </w:r>
      <w:r w:rsidR="00452ECA" w:rsidRPr="00301792">
        <w:rPr>
          <w:sz w:val="26"/>
          <w:szCs w:val="26"/>
        </w:rPr>
        <w:t xml:space="preserve">nonostante </w:t>
      </w:r>
      <w:r w:rsidR="00EB6F9D" w:rsidRPr="00301792">
        <w:rPr>
          <w:sz w:val="26"/>
          <w:szCs w:val="26"/>
        </w:rPr>
        <w:t>le</w:t>
      </w:r>
      <w:r w:rsidR="009C5434" w:rsidRPr="00301792">
        <w:rPr>
          <w:sz w:val="26"/>
          <w:szCs w:val="26"/>
        </w:rPr>
        <w:t xml:space="preserve"> molteplici criticità in aree </w:t>
      </w:r>
      <w:r w:rsidR="0075618D" w:rsidRPr="00301792">
        <w:rPr>
          <w:sz w:val="26"/>
          <w:szCs w:val="26"/>
        </w:rPr>
        <w:t>decisive</w:t>
      </w:r>
      <w:r w:rsidR="009C5434" w:rsidRPr="00301792">
        <w:rPr>
          <w:sz w:val="26"/>
          <w:szCs w:val="26"/>
        </w:rPr>
        <w:t xml:space="preserve"> come Medio Oriente e Mar Rosso</w:t>
      </w:r>
      <w:r w:rsidR="002C702F" w:rsidRPr="00301792">
        <w:rPr>
          <w:sz w:val="26"/>
          <w:szCs w:val="26"/>
        </w:rPr>
        <w:t>. In particolare</w:t>
      </w:r>
      <w:r w:rsidR="009E095D" w:rsidRPr="00301792">
        <w:rPr>
          <w:sz w:val="26"/>
          <w:szCs w:val="26"/>
        </w:rPr>
        <w:t>,</w:t>
      </w:r>
      <w:r w:rsidR="002C702F" w:rsidRPr="00301792">
        <w:rPr>
          <w:sz w:val="26"/>
          <w:szCs w:val="26"/>
        </w:rPr>
        <w:t xml:space="preserve"> lo </w:t>
      </w:r>
      <w:r w:rsidR="00920A59" w:rsidRPr="00301792">
        <w:rPr>
          <w:sz w:val="26"/>
          <w:szCs w:val="26"/>
        </w:rPr>
        <w:t>snodo</w:t>
      </w:r>
      <w:r w:rsidR="002C702F" w:rsidRPr="00301792">
        <w:rPr>
          <w:sz w:val="26"/>
          <w:szCs w:val="26"/>
        </w:rPr>
        <w:t xml:space="preserve"> di </w:t>
      </w:r>
      <w:r w:rsidR="00883B74" w:rsidRPr="00301792">
        <w:rPr>
          <w:sz w:val="26"/>
          <w:szCs w:val="26"/>
        </w:rPr>
        <w:t>Hormuz</w:t>
      </w:r>
      <w:r w:rsidR="009E095D" w:rsidRPr="00301792">
        <w:rPr>
          <w:sz w:val="26"/>
          <w:szCs w:val="26"/>
        </w:rPr>
        <w:t>,</w:t>
      </w:r>
      <w:r w:rsidR="002C702F" w:rsidRPr="00301792">
        <w:rPr>
          <w:sz w:val="26"/>
          <w:szCs w:val="26"/>
        </w:rPr>
        <w:t xml:space="preserve"> punto </w:t>
      </w:r>
      <w:r w:rsidR="00920A59" w:rsidRPr="00301792">
        <w:rPr>
          <w:sz w:val="26"/>
          <w:szCs w:val="26"/>
        </w:rPr>
        <w:t>nevralgico per i</w:t>
      </w:r>
      <w:r w:rsidR="00FA3E4E" w:rsidRPr="00301792">
        <w:rPr>
          <w:sz w:val="26"/>
          <w:szCs w:val="26"/>
        </w:rPr>
        <w:t>l</w:t>
      </w:r>
      <w:r w:rsidR="00920A59" w:rsidRPr="00301792">
        <w:rPr>
          <w:sz w:val="26"/>
          <w:szCs w:val="26"/>
        </w:rPr>
        <w:t xml:space="preserve"> traffic</w:t>
      </w:r>
      <w:r w:rsidR="00FA3E4E" w:rsidRPr="00301792">
        <w:rPr>
          <w:sz w:val="26"/>
          <w:szCs w:val="26"/>
        </w:rPr>
        <w:t>o</w:t>
      </w:r>
      <w:r w:rsidR="00920A59" w:rsidRPr="00301792">
        <w:rPr>
          <w:sz w:val="26"/>
          <w:szCs w:val="26"/>
        </w:rPr>
        <w:t xml:space="preserve"> </w:t>
      </w:r>
      <w:r w:rsidR="002C702F" w:rsidRPr="00301792">
        <w:rPr>
          <w:sz w:val="26"/>
          <w:szCs w:val="26"/>
        </w:rPr>
        <w:t>merci globali</w:t>
      </w:r>
      <w:r w:rsidR="009E095D" w:rsidRPr="00301792">
        <w:rPr>
          <w:sz w:val="26"/>
          <w:szCs w:val="26"/>
        </w:rPr>
        <w:t>,</w:t>
      </w:r>
      <w:r w:rsidR="002C702F" w:rsidRPr="00301792">
        <w:rPr>
          <w:sz w:val="26"/>
          <w:szCs w:val="26"/>
        </w:rPr>
        <w:t xml:space="preserve"> </w:t>
      </w:r>
      <w:r w:rsidR="00FA3E4E" w:rsidRPr="00301792">
        <w:rPr>
          <w:sz w:val="26"/>
          <w:szCs w:val="26"/>
        </w:rPr>
        <w:t xml:space="preserve">a partire dal novembre 2023 </w:t>
      </w:r>
      <w:r w:rsidR="009E095D" w:rsidRPr="00301792">
        <w:rPr>
          <w:sz w:val="26"/>
          <w:szCs w:val="26"/>
        </w:rPr>
        <w:t>è</w:t>
      </w:r>
      <w:r w:rsidR="002C702F" w:rsidRPr="00301792">
        <w:rPr>
          <w:sz w:val="26"/>
          <w:szCs w:val="26"/>
        </w:rPr>
        <w:t xml:space="preserve"> stato </w:t>
      </w:r>
      <w:r w:rsidR="00176159" w:rsidRPr="00301792">
        <w:rPr>
          <w:sz w:val="26"/>
          <w:szCs w:val="26"/>
        </w:rPr>
        <w:t xml:space="preserve">al centro degli attacchi </w:t>
      </w:r>
      <w:r w:rsidR="007247E4" w:rsidRPr="00301792">
        <w:rPr>
          <w:sz w:val="26"/>
          <w:szCs w:val="26"/>
        </w:rPr>
        <w:t xml:space="preserve">dei ribelli </w:t>
      </w:r>
      <w:r w:rsidR="00176159" w:rsidRPr="00301792">
        <w:rPr>
          <w:sz w:val="26"/>
          <w:szCs w:val="26"/>
        </w:rPr>
        <w:t xml:space="preserve">Houthi </w:t>
      </w:r>
      <w:r w:rsidR="009E095D" w:rsidRPr="00301792">
        <w:rPr>
          <w:sz w:val="26"/>
          <w:szCs w:val="26"/>
        </w:rPr>
        <w:t>che</w:t>
      </w:r>
      <w:r w:rsidR="00883B74" w:rsidRPr="00301792">
        <w:rPr>
          <w:sz w:val="26"/>
          <w:szCs w:val="26"/>
        </w:rPr>
        <w:t xml:space="preserve"> </w:t>
      </w:r>
      <w:r w:rsidR="0048527D">
        <w:rPr>
          <w:sz w:val="26"/>
          <w:szCs w:val="26"/>
        </w:rPr>
        <w:t xml:space="preserve">nei primi nove mesi dell’anno </w:t>
      </w:r>
      <w:r w:rsidR="00883B74" w:rsidRPr="00301792">
        <w:rPr>
          <w:sz w:val="26"/>
          <w:szCs w:val="26"/>
        </w:rPr>
        <w:t>hanno determinato una riduzi</w:t>
      </w:r>
      <w:r w:rsidR="009E095D" w:rsidRPr="00301792">
        <w:rPr>
          <w:sz w:val="26"/>
          <w:szCs w:val="26"/>
        </w:rPr>
        <w:t>o</w:t>
      </w:r>
      <w:r w:rsidR="00883B74" w:rsidRPr="00301792">
        <w:rPr>
          <w:sz w:val="26"/>
          <w:szCs w:val="26"/>
        </w:rPr>
        <w:t xml:space="preserve">ne dei traffici </w:t>
      </w:r>
      <w:r w:rsidR="00936950" w:rsidRPr="00301792">
        <w:rPr>
          <w:sz w:val="26"/>
          <w:szCs w:val="26"/>
        </w:rPr>
        <w:t>in quell’area</w:t>
      </w:r>
      <w:r w:rsidR="00883B74" w:rsidRPr="00301792">
        <w:rPr>
          <w:sz w:val="26"/>
          <w:szCs w:val="26"/>
        </w:rPr>
        <w:t xml:space="preserve"> del </w:t>
      </w:r>
      <w:r w:rsidR="00366E3C">
        <w:rPr>
          <w:sz w:val="26"/>
          <w:szCs w:val="26"/>
        </w:rPr>
        <w:t>49</w:t>
      </w:r>
      <w:r w:rsidR="00883B74" w:rsidRPr="00301792">
        <w:rPr>
          <w:sz w:val="26"/>
          <w:szCs w:val="26"/>
        </w:rPr>
        <w:t>%</w:t>
      </w:r>
      <w:r w:rsidR="008F58B2">
        <w:rPr>
          <w:sz w:val="26"/>
          <w:szCs w:val="26"/>
        </w:rPr>
        <w:t>,</w:t>
      </w:r>
      <w:r w:rsidR="003B1D86" w:rsidRPr="00301792">
        <w:rPr>
          <w:sz w:val="26"/>
          <w:szCs w:val="26"/>
        </w:rPr>
        <w:t xml:space="preserve"> a fronte di</w:t>
      </w:r>
      <w:r w:rsidR="00883B74" w:rsidRPr="00301792">
        <w:rPr>
          <w:sz w:val="26"/>
          <w:szCs w:val="26"/>
        </w:rPr>
        <w:t xml:space="preserve"> aument</w:t>
      </w:r>
      <w:r w:rsidR="003B1D86" w:rsidRPr="00301792">
        <w:rPr>
          <w:sz w:val="26"/>
          <w:szCs w:val="26"/>
        </w:rPr>
        <w:t>o</w:t>
      </w:r>
      <w:r w:rsidR="00883B74" w:rsidRPr="00301792">
        <w:rPr>
          <w:sz w:val="26"/>
          <w:szCs w:val="26"/>
        </w:rPr>
        <w:t xml:space="preserve"> </w:t>
      </w:r>
      <w:r w:rsidR="003C5C0E">
        <w:rPr>
          <w:sz w:val="26"/>
          <w:szCs w:val="26"/>
        </w:rPr>
        <w:t xml:space="preserve">di oltre </w:t>
      </w:r>
      <w:r w:rsidR="00E31A47">
        <w:rPr>
          <w:sz w:val="26"/>
          <w:szCs w:val="26"/>
        </w:rPr>
        <w:t>il 70</w:t>
      </w:r>
      <w:r w:rsidR="00883B74" w:rsidRPr="00301792">
        <w:rPr>
          <w:sz w:val="26"/>
          <w:szCs w:val="26"/>
        </w:rPr>
        <w:t xml:space="preserve">% </w:t>
      </w:r>
      <w:r w:rsidR="003B1D86" w:rsidRPr="00301792">
        <w:rPr>
          <w:sz w:val="26"/>
          <w:szCs w:val="26"/>
        </w:rPr>
        <w:t xml:space="preserve">di </w:t>
      </w:r>
      <w:r w:rsidR="0038569B" w:rsidRPr="00301792">
        <w:rPr>
          <w:sz w:val="26"/>
          <w:szCs w:val="26"/>
        </w:rPr>
        <w:t>quelli intorno all’Africa</w:t>
      </w:r>
      <w:r w:rsidR="009E095D" w:rsidRPr="00301792">
        <w:rPr>
          <w:sz w:val="26"/>
          <w:szCs w:val="26"/>
        </w:rPr>
        <w:t>.</w:t>
      </w:r>
    </w:p>
    <w:p w14:paraId="29E6DEDA" w14:textId="23D522E2" w:rsidR="00854609" w:rsidRPr="00301792" w:rsidRDefault="00C52BE9" w:rsidP="00301792">
      <w:pPr>
        <w:ind w:right="1700"/>
        <w:jc w:val="both"/>
        <w:rPr>
          <w:sz w:val="26"/>
          <w:szCs w:val="26"/>
        </w:rPr>
      </w:pPr>
      <w:r w:rsidRPr="00301792">
        <w:rPr>
          <w:sz w:val="26"/>
          <w:szCs w:val="26"/>
        </w:rPr>
        <w:t>Nel 2023</w:t>
      </w:r>
      <w:r w:rsidR="0050704E" w:rsidRPr="00301792">
        <w:rPr>
          <w:sz w:val="26"/>
          <w:szCs w:val="26"/>
        </w:rPr>
        <w:t xml:space="preserve"> per lo stretto di Hormuz</w:t>
      </w:r>
      <w:r w:rsidR="006B4EB4" w:rsidRPr="00301792">
        <w:rPr>
          <w:sz w:val="26"/>
          <w:szCs w:val="26"/>
        </w:rPr>
        <w:t xml:space="preserve">, che collega </w:t>
      </w:r>
      <w:r w:rsidR="00BF15FC" w:rsidRPr="00301792">
        <w:rPr>
          <w:sz w:val="26"/>
          <w:szCs w:val="26"/>
        </w:rPr>
        <w:t xml:space="preserve">il Golfo Persico con </w:t>
      </w:r>
      <w:r w:rsidR="00A719D8" w:rsidRPr="00301792">
        <w:rPr>
          <w:sz w:val="26"/>
          <w:szCs w:val="26"/>
        </w:rPr>
        <w:t>il Golfo di Oman e il Mar Arabico,</w:t>
      </w:r>
      <w:r w:rsidR="0050704E" w:rsidRPr="00301792">
        <w:rPr>
          <w:sz w:val="26"/>
          <w:szCs w:val="26"/>
        </w:rPr>
        <w:t xml:space="preserve"> sono passati </w:t>
      </w:r>
      <w:r w:rsidR="00567721" w:rsidRPr="00301792">
        <w:rPr>
          <w:sz w:val="26"/>
          <w:szCs w:val="26"/>
        </w:rPr>
        <w:t>poco più di 20 milioni b/g di greggio e prodotti finiti, pari al 27% d</w:t>
      </w:r>
      <w:r w:rsidR="00C54D57" w:rsidRPr="00301792">
        <w:rPr>
          <w:sz w:val="26"/>
          <w:szCs w:val="26"/>
        </w:rPr>
        <w:t>el totale movimentato via mare</w:t>
      </w:r>
      <w:r w:rsidR="00567721" w:rsidRPr="00301792">
        <w:rPr>
          <w:sz w:val="26"/>
          <w:szCs w:val="26"/>
        </w:rPr>
        <w:t xml:space="preserve">, oltre </w:t>
      </w:r>
      <w:r w:rsidR="00C54D57" w:rsidRPr="00301792">
        <w:rPr>
          <w:sz w:val="26"/>
          <w:szCs w:val="26"/>
        </w:rPr>
        <w:t>il 20% di tutto il GNL commercializzato</w:t>
      </w:r>
      <w:r w:rsidR="000A0D60" w:rsidRPr="00301792">
        <w:rPr>
          <w:sz w:val="26"/>
          <w:szCs w:val="26"/>
        </w:rPr>
        <w:t xml:space="preserve">. Altrettanto importante è il Canale di Suez e lo Stretto </w:t>
      </w:r>
      <w:r w:rsidR="006B4EB4" w:rsidRPr="00301792">
        <w:rPr>
          <w:sz w:val="26"/>
          <w:szCs w:val="26"/>
        </w:rPr>
        <w:t>di Bal-el-Mandeb</w:t>
      </w:r>
      <w:r w:rsidR="00A719D8" w:rsidRPr="00301792">
        <w:rPr>
          <w:sz w:val="26"/>
          <w:szCs w:val="26"/>
        </w:rPr>
        <w:t xml:space="preserve">, </w:t>
      </w:r>
      <w:r w:rsidR="008B6CCF" w:rsidRPr="00301792">
        <w:rPr>
          <w:sz w:val="26"/>
          <w:szCs w:val="26"/>
        </w:rPr>
        <w:t xml:space="preserve">passaggio chiave per le navi dirette </w:t>
      </w:r>
      <w:r w:rsidR="00176159" w:rsidRPr="00301792">
        <w:rPr>
          <w:sz w:val="26"/>
          <w:szCs w:val="26"/>
        </w:rPr>
        <w:t xml:space="preserve">verso </w:t>
      </w:r>
      <w:r w:rsidR="008B6CCF" w:rsidRPr="00301792">
        <w:rPr>
          <w:sz w:val="26"/>
          <w:szCs w:val="26"/>
        </w:rPr>
        <w:t xml:space="preserve">Europa e Asia, </w:t>
      </w:r>
      <w:r w:rsidR="008C1ABF" w:rsidRPr="00301792">
        <w:rPr>
          <w:sz w:val="26"/>
          <w:szCs w:val="26"/>
        </w:rPr>
        <w:t xml:space="preserve">dove </w:t>
      </w:r>
      <w:r w:rsidR="007D16CB" w:rsidRPr="00301792">
        <w:rPr>
          <w:sz w:val="26"/>
          <w:szCs w:val="26"/>
        </w:rPr>
        <w:t xml:space="preserve">sempre </w:t>
      </w:r>
      <w:r w:rsidR="008C1ABF" w:rsidRPr="00301792">
        <w:rPr>
          <w:sz w:val="26"/>
          <w:szCs w:val="26"/>
        </w:rPr>
        <w:t xml:space="preserve">nel 2023 </w:t>
      </w:r>
      <w:r w:rsidR="007D16CB" w:rsidRPr="00301792">
        <w:rPr>
          <w:sz w:val="26"/>
          <w:szCs w:val="26"/>
        </w:rPr>
        <w:t>è transitato l’11% de</w:t>
      </w:r>
      <w:r w:rsidR="001636A4">
        <w:rPr>
          <w:sz w:val="26"/>
          <w:szCs w:val="26"/>
        </w:rPr>
        <w:t>l</w:t>
      </w:r>
      <w:r w:rsidR="00176159" w:rsidRPr="00301792">
        <w:rPr>
          <w:sz w:val="26"/>
          <w:szCs w:val="26"/>
        </w:rPr>
        <w:t xml:space="preserve"> traffic</w:t>
      </w:r>
      <w:r w:rsidR="001636A4">
        <w:rPr>
          <w:sz w:val="26"/>
          <w:szCs w:val="26"/>
        </w:rPr>
        <w:t>o</w:t>
      </w:r>
      <w:r w:rsidR="00176159" w:rsidRPr="00301792">
        <w:rPr>
          <w:sz w:val="26"/>
          <w:szCs w:val="26"/>
        </w:rPr>
        <w:t xml:space="preserve"> petrolifer</w:t>
      </w:r>
      <w:r w:rsidR="001636A4">
        <w:rPr>
          <w:sz w:val="26"/>
          <w:szCs w:val="26"/>
        </w:rPr>
        <w:t xml:space="preserve">o </w:t>
      </w:r>
      <w:r w:rsidR="00176159" w:rsidRPr="00301792">
        <w:rPr>
          <w:sz w:val="26"/>
          <w:szCs w:val="26"/>
        </w:rPr>
        <w:t xml:space="preserve">e l’8% </w:t>
      </w:r>
      <w:r w:rsidR="008D0F5F" w:rsidRPr="00301792">
        <w:rPr>
          <w:sz w:val="26"/>
          <w:szCs w:val="26"/>
        </w:rPr>
        <w:t>di</w:t>
      </w:r>
      <w:r w:rsidR="00176159" w:rsidRPr="00301792">
        <w:rPr>
          <w:sz w:val="26"/>
          <w:szCs w:val="26"/>
        </w:rPr>
        <w:t xml:space="preserve"> GNL.</w:t>
      </w:r>
    </w:p>
    <w:p w14:paraId="6789FA40" w14:textId="5B74096D" w:rsidR="006F2ECC" w:rsidRPr="00301792" w:rsidRDefault="00883B74" w:rsidP="00301792">
      <w:pPr>
        <w:ind w:right="1700"/>
        <w:jc w:val="both"/>
        <w:rPr>
          <w:sz w:val="26"/>
          <w:szCs w:val="26"/>
        </w:rPr>
      </w:pPr>
      <w:r w:rsidRPr="00301792">
        <w:rPr>
          <w:sz w:val="26"/>
          <w:szCs w:val="26"/>
        </w:rPr>
        <w:t>Il mercato petrolifero</w:t>
      </w:r>
      <w:r w:rsidR="003B1D86" w:rsidRPr="00301792">
        <w:rPr>
          <w:sz w:val="26"/>
          <w:szCs w:val="26"/>
        </w:rPr>
        <w:t>,</w:t>
      </w:r>
      <w:r w:rsidR="00DA296E" w:rsidRPr="00301792">
        <w:rPr>
          <w:sz w:val="26"/>
          <w:szCs w:val="26"/>
        </w:rPr>
        <w:t xml:space="preserve"> comunque</w:t>
      </w:r>
      <w:r w:rsidR="003B1D86" w:rsidRPr="00301792">
        <w:rPr>
          <w:sz w:val="26"/>
          <w:szCs w:val="26"/>
        </w:rPr>
        <w:t>,</w:t>
      </w:r>
      <w:r w:rsidRPr="00301792">
        <w:rPr>
          <w:sz w:val="26"/>
          <w:szCs w:val="26"/>
        </w:rPr>
        <w:t xml:space="preserve"> ha </w:t>
      </w:r>
      <w:r w:rsidR="00845103" w:rsidRPr="00301792">
        <w:rPr>
          <w:sz w:val="26"/>
          <w:szCs w:val="26"/>
        </w:rPr>
        <w:t xml:space="preserve">solo </w:t>
      </w:r>
      <w:r w:rsidRPr="00301792">
        <w:rPr>
          <w:sz w:val="26"/>
          <w:szCs w:val="26"/>
        </w:rPr>
        <w:t xml:space="preserve">parzialmente risentito </w:t>
      </w:r>
      <w:r w:rsidR="00845103" w:rsidRPr="00301792">
        <w:rPr>
          <w:sz w:val="26"/>
          <w:szCs w:val="26"/>
        </w:rPr>
        <w:t>d</w:t>
      </w:r>
      <w:r w:rsidR="003B1D86" w:rsidRPr="00301792">
        <w:rPr>
          <w:sz w:val="26"/>
          <w:szCs w:val="26"/>
        </w:rPr>
        <w:t xml:space="preserve">elle </w:t>
      </w:r>
      <w:r w:rsidRPr="00301792">
        <w:rPr>
          <w:sz w:val="26"/>
          <w:szCs w:val="26"/>
        </w:rPr>
        <w:t>tensioni geopolitiche in Medio</w:t>
      </w:r>
      <w:r w:rsidR="00845103" w:rsidRPr="00301792">
        <w:rPr>
          <w:sz w:val="26"/>
          <w:szCs w:val="26"/>
        </w:rPr>
        <w:t xml:space="preserve"> </w:t>
      </w:r>
      <w:r w:rsidR="00F60938" w:rsidRPr="00301792">
        <w:rPr>
          <w:sz w:val="26"/>
          <w:szCs w:val="26"/>
        </w:rPr>
        <w:t>O</w:t>
      </w:r>
      <w:r w:rsidRPr="00301792">
        <w:rPr>
          <w:sz w:val="26"/>
          <w:szCs w:val="26"/>
        </w:rPr>
        <w:t>riente</w:t>
      </w:r>
      <w:r w:rsidR="00DA296E" w:rsidRPr="00301792">
        <w:rPr>
          <w:sz w:val="26"/>
          <w:szCs w:val="26"/>
        </w:rPr>
        <w:t>,</w:t>
      </w:r>
      <w:r w:rsidRPr="00301792">
        <w:rPr>
          <w:sz w:val="26"/>
          <w:szCs w:val="26"/>
        </w:rPr>
        <w:t xml:space="preserve"> con </w:t>
      </w:r>
      <w:r w:rsidR="00666B53" w:rsidRPr="00301792">
        <w:rPr>
          <w:sz w:val="26"/>
          <w:szCs w:val="26"/>
        </w:rPr>
        <w:t>un</w:t>
      </w:r>
      <w:r w:rsidR="00845103" w:rsidRPr="00301792">
        <w:rPr>
          <w:sz w:val="26"/>
          <w:szCs w:val="26"/>
        </w:rPr>
        <w:t>’</w:t>
      </w:r>
      <w:r w:rsidR="00DA296E" w:rsidRPr="00301792">
        <w:rPr>
          <w:sz w:val="26"/>
          <w:szCs w:val="26"/>
        </w:rPr>
        <w:t xml:space="preserve">iniziale </w:t>
      </w:r>
      <w:r w:rsidR="00666B53" w:rsidRPr="00301792">
        <w:rPr>
          <w:sz w:val="26"/>
          <w:szCs w:val="26"/>
        </w:rPr>
        <w:t>fase rialzista nel prim</w:t>
      </w:r>
      <w:r w:rsidR="00B81D3B" w:rsidRPr="00301792">
        <w:rPr>
          <w:sz w:val="26"/>
          <w:szCs w:val="26"/>
        </w:rPr>
        <w:t>o</w:t>
      </w:r>
      <w:r w:rsidR="00666B53" w:rsidRPr="00301792">
        <w:rPr>
          <w:sz w:val="26"/>
          <w:szCs w:val="26"/>
        </w:rPr>
        <w:t xml:space="preserve"> </w:t>
      </w:r>
      <w:r w:rsidR="008E4DC8" w:rsidRPr="00301792">
        <w:rPr>
          <w:sz w:val="26"/>
          <w:szCs w:val="26"/>
        </w:rPr>
        <w:t>quadrimestre</w:t>
      </w:r>
      <w:r w:rsidR="00666B53" w:rsidRPr="00301792">
        <w:rPr>
          <w:sz w:val="26"/>
          <w:szCs w:val="26"/>
        </w:rPr>
        <w:t xml:space="preserve"> dell’anno</w:t>
      </w:r>
      <w:r w:rsidR="008E4DC8" w:rsidRPr="00301792">
        <w:rPr>
          <w:sz w:val="26"/>
          <w:szCs w:val="26"/>
        </w:rPr>
        <w:t xml:space="preserve">, </w:t>
      </w:r>
      <w:r w:rsidR="005A32AA">
        <w:rPr>
          <w:sz w:val="26"/>
          <w:szCs w:val="26"/>
        </w:rPr>
        <w:t xml:space="preserve">che </w:t>
      </w:r>
      <w:r w:rsidR="00816D46" w:rsidRPr="00301792">
        <w:rPr>
          <w:sz w:val="26"/>
          <w:szCs w:val="26"/>
        </w:rPr>
        <w:t>ai primi di aprile</w:t>
      </w:r>
      <w:r w:rsidR="00816D46">
        <w:rPr>
          <w:sz w:val="26"/>
          <w:szCs w:val="26"/>
        </w:rPr>
        <w:t xml:space="preserve"> </w:t>
      </w:r>
      <w:r w:rsidR="005A32AA">
        <w:rPr>
          <w:sz w:val="26"/>
          <w:szCs w:val="26"/>
        </w:rPr>
        <w:t>ha visto</w:t>
      </w:r>
      <w:r w:rsidR="001C0A1E">
        <w:rPr>
          <w:sz w:val="26"/>
          <w:szCs w:val="26"/>
        </w:rPr>
        <w:t xml:space="preserve"> punte</w:t>
      </w:r>
      <w:r w:rsidR="00D96284" w:rsidRPr="00301792">
        <w:rPr>
          <w:sz w:val="26"/>
          <w:szCs w:val="26"/>
        </w:rPr>
        <w:t xml:space="preserve"> </w:t>
      </w:r>
      <w:r w:rsidR="00234B25" w:rsidRPr="00301792">
        <w:rPr>
          <w:sz w:val="26"/>
          <w:szCs w:val="26"/>
        </w:rPr>
        <w:t>superiori</w:t>
      </w:r>
      <w:r w:rsidR="008E4DC8" w:rsidRPr="00301792">
        <w:rPr>
          <w:sz w:val="26"/>
          <w:szCs w:val="26"/>
        </w:rPr>
        <w:t xml:space="preserve"> </w:t>
      </w:r>
      <w:r w:rsidR="005F30B4" w:rsidRPr="00301792">
        <w:rPr>
          <w:sz w:val="26"/>
          <w:szCs w:val="26"/>
        </w:rPr>
        <w:t xml:space="preserve">ai 90 dollari/barile, seguita </w:t>
      </w:r>
      <w:r w:rsidRPr="00301792">
        <w:rPr>
          <w:sz w:val="26"/>
          <w:szCs w:val="26"/>
        </w:rPr>
        <w:t xml:space="preserve">poi da </w:t>
      </w:r>
      <w:r w:rsidR="005F30B4" w:rsidRPr="00301792">
        <w:rPr>
          <w:sz w:val="26"/>
          <w:szCs w:val="26"/>
        </w:rPr>
        <w:t xml:space="preserve">una fase riflessiva </w:t>
      </w:r>
      <w:r w:rsidR="00C324AF" w:rsidRPr="00301792">
        <w:rPr>
          <w:sz w:val="26"/>
          <w:szCs w:val="26"/>
        </w:rPr>
        <w:t>giunta</w:t>
      </w:r>
      <w:r w:rsidR="00B43572" w:rsidRPr="00301792">
        <w:rPr>
          <w:sz w:val="26"/>
          <w:szCs w:val="26"/>
        </w:rPr>
        <w:t xml:space="preserve"> </w:t>
      </w:r>
      <w:r w:rsidR="005A32AA">
        <w:rPr>
          <w:sz w:val="26"/>
          <w:szCs w:val="26"/>
        </w:rPr>
        <w:t>fin</w:t>
      </w:r>
      <w:r w:rsidR="00452548">
        <w:rPr>
          <w:sz w:val="26"/>
          <w:szCs w:val="26"/>
        </w:rPr>
        <w:t>o ai</w:t>
      </w:r>
      <w:r w:rsidR="00DA0156" w:rsidRPr="00301792">
        <w:rPr>
          <w:sz w:val="26"/>
          <w:szCs w:val="26"/>
        </w:rPr>
        <w:t xml:space="preserve"> 69 dollari b/g di metà settembre. </w:t>
      </w:r>
      <w:r w:rsidR="00095F6C" w:rsidRPr="00301792">
        <w:rPr>
          <w:sz w:val="26"/>
          <w:szCs w:val="26"/>
        </w:rPr>
        <w:t>A partire da quella data i prezzi si sono mantenuti tra i 70 e i 75 dollari/barile</w:t>
      </w:r>
      <w:r w:rsidR="00AC37B2" w:rsidRPr="00301792">
        <w:rPr>
          <w:sz w:val="26"/>
          <w:szCs w:val="26"/>
        </w:rPr>
        <w:t xml:space="preserve"> senza particolari scossoni</w:t>
      </w:r>
      <w:r w:rsidR="008D0F5F" w:rsidRPr="00301792">
        <w:rPr>
          <w:sz w:val="26"/>
          <w:szCs w:val="26"/>
        </w:rPr>
        <w:t>,</w:t>
      </w:r>
      <w:r w:rsidR="00AC37B2" w:rsidRPr="00301792">
        <w:rPr>
          <w:sz w:val="26"/>
          <w:szCs w:val="26"/>
        </w:rPr>
        <w:t xml:space="preserve"> complice </w:t>
      </w:r>
      <w:r w:rsidR="00F647E0" w:rsidRPr="00301792">
        <w:rPr>
          <w:sz w:val="26"/>
          <w:szCs w:val="26"/>
        </w:rPr>
        <w:t xml:space="preserve">la chiara percezione di un mercato ben </w:t>
      </w:r>
      <w:r w:rsidR="00452548">
        <w:rPr>
          <w:sz w:val="26"/>
          <w:szCs w:val="26"/>
        </w:rPr>
        <w:t>ri</w:t>
      </w:r>
      <w:r w:rsidR="00F647E0" w:rsidRPr="00301792">
        <w:rPr>
          <w:sz w:val="26"/>
          <w:szCs w:val="26"/>
        </w:rPr>
        <w:t>fornito</w:t>
      </w:r>
      <w:r w:rsidR="0008216A" w:rsidRPr="00301792">
        <w:rPr>
          <w:sz w:val="26"/>
          <w:szCs w:val="26"/>
        </w:rPr>
        <w:t xml:space="preserve"> rispetto alle tante </w:t>
      </w:r>
      <w:r w:rsidR="00103099" w:rsidRPr="00301792">
        <w:rPr>
          <w:sz w:val="26"/>
          <w:szCs w:val="26"/>
        </w:rPr>
        <w:t>incertezze sul fronte dei consumi</w:t>
      </w:r>
      <w:r w:rsidR="00430CE8" w:rsidRPr="00301792">
        <w:rPr>
          <w:sz w:val="26"/>
          <w:szCs w:val="26"/>
        </w:rPr>
        <w:t>.</w:t>
      </w:r>
    </w:p>
    <w:p w14:paraId="37A770C2" w14:textId="5A731DE6" w:rsidR="00C94FF6" w:rsidRPr="00301792" w:rsidRDefault="00DE505F" w:rsidP="00301792">
      <w:pPr>
        <w:ind w:right="1700"/>
        <w:jc w:val="both"/>
        <w:rPr>
          <w:sz w:val="26"/>
          <w:szCs w:val="26"/>
        </w:rPr>
      </w:pPr>
      <w:r>
        <w:rPr>
          <w:b/>
          <w:bCs/>
          <w:noProof/>
          <w:sz w:val="26"/>
          <w:szCs w:val="26"/>
        </w:rPr>
        <w:lastRenderedPageBreak/>
        <mc:AlternateContent>
          <mc:Choice Requires="wps">
            <w:drawing>
              <wp:anchor distT="0" distB="0" distL="114300" distR="114300" simplePos="0" relativeHeight="251742208" behindDoc="0" locked="0" layoutInCell="1" allowOverlap="1" wp14:anchorId="4AFDD130" wp14:editId="1480E73F">
                <wp:simplePos x="0" y="0"/>
                <wp:positionH relativeFrom="column">
                  <wp:posOffset>5391785</wp:posOffset>
                </wp:positionH>
                <wp:positionV relativeFrom="paragraph">
                  <wp:posOffset>36499</wp:posOffset>
                </wp:positionV>
                <wp:extent cx="1017270" cy="309880"/>
                <wp:effectExtent l="0" t="0" r="11430" b="13970"/>
                <wp:wrapNone/>
                <wp:docPr id="359206178"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1DDBA6" w14:textId="40F7F593" w:rsidR="00DE505F" w:rsidRPr="00301792" w:rsidRDefault="00DE505F" w:rsidP="00DE505F">
                            <w:pPr>
                              <w:jc w:val="center"/>
                              <w:rPr>
                                <w:b/>
                                <w:bCs/>
                                <w:sz w:val="28"/>
                                <w:szCs w:val="28"/>
                              </w:rPr>
                            </w:pPr>
                            <w:r w:rsidRPr="00301792">
                              <w:rPr>
                                <w:b/>
                                <w:bCs/>
                                <w:sz w:val="28"/>
                                <w:szCs w:val="28"/>
                              </w:rPr>
                              <w:t xml:space="preserve">Slide </w:t>
                            </w:r>
                            <w:r>
                              <w:rPr>
                                <w:b/>
                                <w:bCs/>
                                <w:sz w:val="28"/>
                                <w:szCs w:val="28"/>
                              </w:rPr>
                              <w:t xml:space="preserve">5 </w:t>
                            </w:r>
                          </w:p>
                          <w:p w14:paraId="438068EA" w14:textId="77777777" w:rsidR="00DE505F" w:rsidRPr="00301792" w:rsidRDefault="00DE505F" w:rsidP="00DE505F">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DD130" id="_x0000_s1032" style="position:absolute;left:0;text-align:left;margin-left:424.55pt;margin-top:2.85pt;width:80.1pt;height:2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" fillcolor="#0070c0" strokecolor="#0070c0" strokeweight="1pt">
                <v:textbox>
                  <w:txbxContent>
                    <w:p w14:paraId="7B1DDBA6" w14:textId="40F7F593" w:rsidR="00DE505F" w:rsidRPr="00301792" w:rsidRDefault="00DE505F" w:rsidP="00DE505F">
                      <w:pPr>
                        <w:jc w:val="center"/>
                        <w:rPr>
                          <w:b/>
                          <w:bCs/>
                          <w:sz w:val="28"/>
                          <w:szCs w:val="28"/>
                        </w:rPr>
                      </w:pPr>
                      <w:r w:rsidRPr="00301792">
                        <w:rPr>
                          <w:b/>
                          <w:bCs/>
                          <w:sz w:val="28"/>
                          <w:szCs w:val="28"/>
                        </w:rPr>
                        <w:t xml:space="preserve">Slide </w:t>
                      </w:r>
                      <w:r>
                        <w:rPr>
                          <w:b/>
                          <w:bCs/>
                          <w:sz w:val="28"/>
                          <w:szCs w:val="28"/>
                        </w:rPr>
                        <w:t xml:space="preserve">5 </w:t>
                      </w:r>
                    </w:p>
                    <w:p w14:paraId="438068EA" w14:textId="77777777" w:rsidR="00DE505F" w:rsidRPr="00301792" w:rsidRDefault="00DE505F" w:rsidP="00DE505F">
                      <w:pPr>
                        <w:jc w:val="center"/>
                        <w:rPr>
                          <w:b/>
                          <w:bCs/>
                          <w:sz w:val="28"/>
                          <w:szCs w:val="28"/>
                        </w:rPr>
                      </w:pPr>
                    </w:p>
                  </w:txbxContent>
                </v:textbox>
              </v:rect>
            </w:pict>
          </mc:Fallback>
        </mc:AlternateContent>
      </w:r>
      <w:r w:rsidR="00E56D05">
        <w:rPr>
          <w:sz w:val="26"/>
          <w:szCs w:val="26"/>
        </w:rPr>
        <w:t xml:space="preserve">La </w:t>
      </w:r>
      <w:r w:rsidR="00430CE8" w:rsidRPr="00301792">
        <w:rPr>
          <w:sz w:val="26"/>
          <w:szCs w:val="26"/>
        </w:rPr>
        <w:t xml:space="preserve">media annua </w:t>
      </w:r>
      <w:r w:rsidR="00E56D05">
        <w:rPr>
          <w:sz w:val="26"/>
          <w:szCs w:val="26"/>
        </w:rPr>
        <w:t>d</w:t>
      </w:r>
      <w:r w:rsidR="00430CE8" w:rsidRPr="00301792">
        <w:rPr>
          <w:sz w:val="26"/>
          <w:szCs w:val="26"/>
        </w:rPr>
        <w:t xml:space="preserve">el 2024 </w:t>
      </w:r>
      <w:r w:rsidR="00100D2F">
        <w:rPr>
          <w:sz w:val="26"/>
          <w:szCs w:val="26"/>
        </w:rPr>
        <w:t>è</w:t>
      </w:r>
      <w:r w:rsidR="00E56D05">
        <w:rPr>
          <w:sz w:val="26"/>
          <w:szCs w:val="26"/>
        </w:rPr>
        <w:t xml:space="preserve"> stata quindi per </w:t>
      </w:r>
      <w:r w:rsidR="00430CE8" w:rsidRPr="00301792">
        <w:rPr>
          <w:sz w:val="26"/>
          <w:szCs w:val="26"/>
        </w:rPr>
        <w:t xml:space="preserve">il Brent </w:t>
      </w:r>
      <w:r w:rsidR="00E56D05">
        <w:rPr>
          <w:sz w:val="26"/>
          <w:szCs w:val="26"/>
        </w:rPr>
        <w:t xml:space="preserve">di </w:t>
      </w:r>
      <w:r w:rsidR="006F2A39">
        <w:rPr>
          <w:sz w:val="26"/>
          <w:szCs w:val="26"/>
        </w:rPr>
        <w:t>80</w:t>
      </w:r>
      <w:r w:rsidR="00430CE8" w:rsidRPr="00301792">
        <w:rPr>
          <w:sz w:val="26"/>
          <w:szCs w:val="26"/>
        </w:rPr>
        <w:t xml:space="preserve"> dollari/barile</w:t>
      </w:r>
      <w:r w:rsidR="006C0F92" w:rsidRPr="00301792">
        <w:rPr>
          <w:sz w:val="26"/>
          <w:szCs w:val="26"/>
        </w:rPr>
        <w:t>, molto vicin</w:t>
      </w:r>
      <w:r w:rsidR="00562D3E">
        <w:rPr>
          <w:sz w:val="26"/>
          <w:szCs w:val="26"/>
        </w:rPr>
        <w:t>i</w:t>
      </w:r>
      <w:r w:rsidR="006C0F92" w:rsidRPr="00301792">
        <w:rPr>
          <w:sz w:val="26"/>
          <w:szCs w:val="26"/>
        </w:rPr>
        <w:t xml:space="preserve"> ai valori del 2023, ma inferior</w:t>
      </w:r>
      <w:r w:rsidR="00D374DE">
        <w:rPr>
          <w:sz w:val="26"/>
          <w:szCs w:val="26"/>
        </w:rPr>
        <w:t>i</w:t>
      </w:r>
      <w:r w:rsidR="006C0F92" w:rsidRPr="00301792">
        <w:rPr>
          <w:sz w:val="26"/>
          <w:szCs w:val="26"/>
        </w:rPr>
        <w:t xml:space="preserve"> </w:t>
      </w:r>
      <w:r w:rsidR="00266241">
        <w:rPr>
          <w:sz w:val="26"/>
          <w:szCs w:val="26"/>
        </w:rPr>
        <w:t>di circa</w:t>
      </w:r>
      <w:r w:rsidR="006C0F92" w:rsidRPr="00301792">
        <w:rPr>
          <w:sz w:val="26"/>
          <w:szCs w:val="26"/>
        </w:rPr>
        <w:t xml:space="preserve"> </w:t>
      </w:r>
      <w:r w:rsidR="00BE75FA" w:rsidRPr="00301792">
        <w:rPr>
          <w:sz w:val="26"/>
          <w:szCs w:val="26"/>
        </w:rPr>
        <w:t>1</w:t>
      </w:r>
      <w:r w:rsidR="00266241">
        <w:rPr>
          <w:sz w:val="26"/>
          <w:szCs w:val="26"/>
        </w:rPr>
        <w:t>9</w:t>
      </w:r>
      <w:r w:rsidR="00BE75FA" w:rsidRPr="00301792">
        <w:rPr>
          <w:sz w:val="26"/>
          <w:szCs w:val="26"/>
        </w:rPr>
        <w:t>% rispetto al 2022</w:t>
      </w:r>
      <w:r w:rsidR="006B48BA">
        <w:rPr>
          <w:sz w:val="26"/>
          <w:szCs w:val="26"/>
        </w:rPr>
        <w:t>,</w:t>
      </w:r>
      <w:r w:rsidR="00BE75FA" w:rsidRPr="00301792">
        <w:rPr>
          <w:sz w:val="26"/>
          <w:szCs w:val="26"/>
        </w:rPr>
        <w:t xml:space="preserve"> </w:t>
      </w:r>
      <w:r w:rsidR="00E56D05">
        <w:rPr>
          <w:sz w:val="26"/>
          <w:szCs w:val="26"/>
        </w:rPr>
        <w:t xml:space="preserve">anno </w:t>
      </w:r>
      <w:r w:rsidR="00BE75FA" w:rsidRPr="00301792">
        <w:rPr>
          <w:sz w:val="26"/>
          <w:szCs w:val="26"/>
        </w:rPr>
        <w:t>che fece registrare i picchi massimi dell’ultimo decennio</w:t>
      </w:r>
      <w:r w:rsidR="00B7691F">
        <w:rPr>
          <w:sz w:val="26"/>
          <w:szCs w:val="26"/>
        </w:rPr>
        <w:t>.</w:t>
      </w:r>
    </w:p>
    <w:p w14:paraId="567A9798" w14:textId="4748E736" w:rsidR="00C94FF6" w:rsidRPr="00301792" w:rsidRDefault="007B0906" w:rsidP="00301792">
      <w:pPr>
        <w:ind w:right="1700"/>
        <w:jc w:val="both"/>
        <w:rPr>
          <w:sz w:val="26"/>
          <w:szCs w:val="26"/>
        </w:rPr>
      </w:pPr>
      <w:r>
        <w:rPr>
          <w:b/>
          <w:bCs/>
          <w:noProof/>
          <w:sz w:val="26"/>
          <w:szCs w:val="26"/>
        </w:rPr>
        <mc:AlternateContent>
          <mc:Choice Requires="wps">
            <w:drawing>
              <wp:anchor distT="0" distB="0" distL="114300" distR="114300" simplePos="0" relativeHeight="251740160" behindDoc="0" locked="0" layoutInCell="1" allowOverlap="1" wp14:anchorId="3837B7F7" wp14:editId="325C39C3">
                <wp:simplePos x="0" y="0"/>
                <wp:positionH relativeFrom="column">
                  <wp:posOffset>5374640</wp:posOffset>
                </wp:positionH>
                <wp:positionV relativeFrom="paragraph">
                  <wp:posOffset>7289</wp:posOffset>
                </wp:positionV>
                <wp:extent cx="1017270" cy="309880"/>
                <wp:effectExtent l="0" t="0" r="11430" b="13970"/>
                <wp:wrapNone/>
                <wp:docPr id="52905558"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B85072" w14:textId="3A4CDE8F" w:rsidR="007B0906" w:rsidRPr="00301792" w:rsidRDefault="007B0906" w:rsidP="007B0906">
                            <w:pPr>
                              <w:jc w:val="center"/>
                              <w:rPr>
                                <w:b/>
                                <w:bCs/>
                                <w:sz w:val="28"/>
                                <w:szCs w:val="28"/>
                              </w:rPr>
                            </w:pPr>
                            <w:r w:rsidRPr="00301792">
                              <w:rPr>
                                <w:b/>
                                <w:bCs/>
                                <w:sz w:val="28"/>
                                <w:szCs w:val="28"/>
                              </w:rPr>
                              <w:t xml:space="preserve">Slide </w:t>
                            </w:r>
                            <w:r>
                              <w:rPr>
                                <w:b/>
                                <w:bCs/>
                                <w:sz w:val="28"/>
                                <w:szCs w:val="28"/>
                              </w:rPr>
                              <w:t>6</w:t>
                            </w:r>
                          </w:p>
                          <w:p w14:paraId="16F2E27C" w14:textId="77777777" w:rsidR="007B0906" w:rsidRPr="00301792" w:rsidRDefault="007B0906" w:rsidP="007B0906">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B7F7" id="_x0000_s1033" style="position:absolute;left:0;text-align:left;margin-left:423.2pt;margin-top:.55pt;width:80.1pt;height:2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mgiAIAAJo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" fillcolor="#0070c0" strokecolor="#0070c0" strokeweight="1pt">
                <v:textbox>
                  <w:txbxContent>
                    <w:p w14:paraId="01B85072" w14:textId="3A4CDE8F" w:rsidR="007B0906" w:rsidRPr="00301792" w:rsidRDefault="007B0906" w:rsidP="007B0906">
                      <w:pPr>
                        <w:jc w:val="center"/>
                        <w:rPr>
                          <w:b/>
                          <w:bCs/>
                          <w:sz w:val="28"/>
                          <w:szCs w:val="28"/>
                        </w:rPr>
                      </w:pPr>
                      <w:r w:rsidRPr="00301792">
                        <w:rPr>
                          <w:b/>
                          <w:bCs/>
                          <w:sz w:val="28"/>
                          <w:szCs w:val="28"/>
                        </w:rPr>
                        <w:t xml:space="preserve">Slide </w:t>
                      </w:r>
                      <w:r>
                        <w:rPr>
                          <w:b/>
                          <w:bCs/>
                          <w:sz w:val="28"/>
                          <w:szCs w:val="28"/>
                        </w:rPr>
                        <w:t>6</w:t>
                      </w:r>
                    </w:p>
                    <w:p w14:paraId="16F2E27C" w14:textId="77777777" w:rsidR="007B0906" w:rsidRPr="00301792" w:rsidRDefault="007B0906" w:rsidP="007B0906">
                      <w:pPr>
                        <w:jc w:val="center"/>
                        <w:rPr>
                          <w:b/>
                          <w:bCs/>
                          <w:sz w:val="28"/>
                          <w:szCs w:val="28"/>
                        </w:rPr>
                      </w:pPr>
                    </w:p>
                  </w:txbxContent>
                </v:textbox>
              </v:rect>
            </w:pict>
          </mc:Fallback>
        </mc:AlternateContent>
      </w:r>
      <w:r w:rsidR="00325BA2" w:rsidRPr="00301792">
        <w:rPr>
          <w:sz w:val="26"/>
          <w:szCs w:val="26"/>
        </w:rPr>
        <w:t xml:space="preserve">Tendenze analoghe possono rilevarsi per i </w:t>
      </w:r>
      <w:r w:rsidR="00325BA2" w:rsidRPr="00301792">
        <w:rPr>
          <w:b/>
          <w:bCs/>
          <w:sz w:val="26"/>
          <w:szCs w:val="26"/>
        </w:rPr>
        <w:t>mercati dei prodotti raffinati</w:t>
      </w:r>
      <w:r w:rsidR="00325BA2" w:rsidRPr="00301792">
        <w:rPr>
          <w:sz w:val="26"/>
          <w:szCs w:val="26"/>
        </w:rPr>
        <w:t xml:space="preserve"> </w:t>
      </w:r>
      <w:r w:rsidR="0096315D" w:rsidRPr="00301792">
        <w:rPr>
          <w:sz w:val="26"/>
          <w:szCs w:val="26"/>
        </w:rPr>
        <w:t>che</w:t>
      </w:r>
      <w:r w:rsidR="00F17D87" w:rsidRPr="00301792">
        <w:rPr>
          <w:sz w:val="26"/>
          <w:szCs w:val="26"/>
        </w:rPr>
        <w:t xml:space="preserve"> </w:t>
      </w:r>
      <w:r w:rsidR="00B13CB6" w:rsidRPr="00301792">
        <w:rPr>
          <w:sz w:val="26"/>
          <w:szCs w:val="26"/>
        </w:rPr>
        <w:t xml:space="preserve">nella seconda </w:t>
      </w:r>
      <w:r w:rsidR="00F17D87" w:rsidRPr="00301792">
        <w:rPr>
          <w:sz w:val="26"/>
          <w:szCs w:val="26"/>
        </w:rPr>
        <w:t>parte</w:t>
      </w:r>
      <w:r w:rsidR="00B13CB6" w:rsidRPr="00301792">
        <w:rPr>
          <w:sz w:val="26"/>
          <w:szCs w:val="26"/>
        </w:rPr>
        <w:t xml:space="preserve"> dell’anno hanno mostrato</w:t>
      </w:r>
      <w:r w:rsidR="00E950D7" w:rsidRPr="00301792">
        <w:rPr>
          <w:sz w:val="26"/>
          <w:szCs w:val="26"/>
        </w:rPr>
        <w:t xml:space="preserve"> </w:t>
      </w:r>
      <w:r w:rsidR="00B13CB6" w:rsidRPr="00301792">
        <w:rPr>
          <w:sz w:val="26"/>
          <w:szCs w:val="26"/>
        </w:rPr>
        <w:t xml:space="preserve">cali </w:t>
      </w:r>
      <w:r w:rsidR="00977E66" w:rsidRPr="00301792">
        <w:rPr>
          <w:sz w:val="26"/>
          <w:szCs w:val="26"/>
        </w:rPr>
        <w:t xml:space="preserve">percentuali </w:t>
      </w:r>
      <w:r w:rsidR="00E950D7" w:rsidRPr="00301792">
        <w:rPr>
          <w:sz w:val="26"/>
          <w:szCs w:val="26"/>
        </w:rPr>
        <w:t xml:space="preserve">maggiori </w:t>
      </w:r>
      <w:r w:rsidR="0008216A" w:rsidRPr="00301792">
        <w:rPr>
          <w:sz w:val="26"/>
          <w:szCs w:val="26"/>
        </w:rPr>
        <w:t>di quelli del</w:t>
      </w:r>
      <w:r w:rsidR="00B13CB6" w:rsidRPr="00301792">
        <w:rPr>
          <w:sz w:val="26"/>
          <w:szCs w:val="26"/>
        </w:rPr>
        <w:t xml:space="preserve"> greggio</w:t>
      </w:r>
      <w:r w:rsidR="00E950D7" w:rsidRPr="00301792">
        <w:rPr>
          <w:sz w:val="26"/>
          <w:szCs w:val="26"/>
        </w:rPr>
        <w:t>, toccando ad ottobre i minimi dell’anno. In media la benzina ha quotato</w:t>
      </w:r>
      <w:r w:rsidR="0027018A" w:rsidRPr="00301792">
        <w:rPr>
          <w:sz w:val="26"/>
          <w:szCs w:val="26"/>
        </w:rPr>
        <w:t xml:space="preserve"> (Platts Cif Med)</w:t>
      </w:r>
      <w:r w:rsidR="00E950D7" w:rsidRPr="00301792">
        <w:rPr>
          <w:sz w:val="26"/>
          <w:szCs w:val="26"/>
        </w:rPr>
        <w:t xml:space="preserve"> intorno ai </w:t>
      </w:r>
      <w:r w:rsidR="0027018A" w:rsidRPr="00301792">
        <w:rPr>
          <w:sz w:val="26"/>
          <w:szCs w:val="26"/>
        </w:rPr>
        <w:t xml:space="preserve">57 centesimi euro/litro, mentre il gasolio </w:t>
      </w:r>
      <w:r w:rsidR="00FB311E" w:rsidRPr="00301792">
        <w:rPr>
          <w:sz w:val="26"/>
          <w:szCs w:val="26"/>
        </w:rPr>
        <w:t xml:space="preserve">ai 60 centesimi, ossia tra i </w:t>
      </w:r>
      <w:r w:rsidR="00344374" w:rsidRPr="00301792">
        <w:rPr>
          <w:sz w:val="26"/>
          <w:szCs w:val="26"/>
        </w:rPr>
        <w:t>3 e i 5 centesimi in meno rispetto al 2023.</w:t>
      </w:r>
    </w:p>
    <w:p w14:paraId="6DCF5600" w14:textId="53CADF0B" w:rsidR="007831E9" w:rsidRDefault="00642808" w:rsidP="00075E9E">
      <w:pPr>
        <w:ind w:right="1700"/>
        <w:jc w:val="both"/>
        <w:rPr>
          <w:sz w:val="26"/>
          <w:szCs w:val="26"/>
        </w:rPr>
      </w:pPr>
      <w:r w:rsidRPr="00EF0429">
        <w:rPr>
          <w:b/>
          <w:bCs/>
          <w:noProof/>
          <w:sz w:val="26"/>
          <w:szCs w:val="26"/>
        </w:rPr>
        <mc:AlternateContent>
          <mc:Choice Requires="wps">
            <w:drawing>
              <wp:anchor distT="0" distB="0" distL="114300" distR="114300" simplePos="0" relativeHeight="251744256" behindDoc="0" locked="0" layoutInCell="1" allowOverlap="1" wp14:anchorId="7452EE56" wp14:editId="02E2AE81">
                <wp:simplePos x="0" y="0"/>
                <wp:positionH relativeFrom="column">
                  <wp:posOffset>5378450</wp:posOffset>
                </wp:positionH>
                <wp:positionV relativeFrom="paragraph">
                  <wp:posOffset>34014</wp:posOffset>
                </wp:positionV>
                <wp:extent cx="1017270" cy="309880"/>
                <wp:effectExtent l="0" t="0" r="11430" b="13970"/>
                <wp:wrapNone/>
                <wp:docPr id="728733294"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917A2F" w14:textId="6A5D7119" w:rsidR="00F34B49" w:rsidRPr="00301792" w:rsidRDefault="00F34B49" w:rsidP="00F34B49">
                            <w:pPr>
                              <w:jc w:val="center"/>
                              <w:rPr>
                                <w:b/>
                                <w:bCs/>
                                <w:sz w:val="28"/>
                                <w:szCs w:val="28"/>
                              </w:rPr>
                            </w:pPr>
                            <w:r w:rsidRPr="00301792">
                              <w:rPr>
                                <w:b/>
                                <w:bCs/>
                                <w:sz w:val="28"/>
                                <w:szCs w:val="28"/>
                              </w:rPr>
                              <w:t xml:space="preserve">Slide </w:t>
                            </w:r>
                            <w:r w:rsidR="000727B0">
                              <w:rPr>
                                <w:b/>
                                <w:bCs/>
                                <w:sz w:val="28"/>
                                <w:szCs w:val="28"/>
                              </w:rPr>
                              <w:t>7</w:t>
                            </w:r>
                          </w:p>
                          <w:p w14:paraId="3E092B26" w14:textId="77777777" w:rsidR="00F34B49" w:rsidRPr="00301792" w:rsidRDefault="00F34B49" w:rsidP="00F34B49">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2EE56" id="_x0000_s1034" style="position:absolute;left:0;text-align:left;margin-left:423.5pt;margin-top:2.7pt;width:80.1pt;height:2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" fillcolor="#0070c0" strokecolor="#0070c0" strokeweight="1pt">
                <v:textbox>
                  <w:txbxContent>
                    <w:p w14:paraId="4E917A2F" w14:textId="6A5D7119" w:rsidR="00F34B49" w:rsidRPr="00301792" w:rsidRDefault="00F34B49" w:rsidP="00F34B49">
                      <w:pPr>
                        <w:jc w:val="center"/>
                        <w:rPr>
                          <w:b/>
                          <w:bCs/>
                          <w:sz w:val="28"/>
                          <w:szCs w:val="28"/>
                        </w:rPr>
                      </w:pPr>
                      <w:r w:rsidRPr="00301792">
                        <w:rPr>
                          <w:b/>
                          <w:bCs/>
                          <w:sz w:val="28"/>
                          <w:szCs w:val="28"/>
                        </w:rPr>
                        <w:t xml:space="preserve">Slide </w:t>
                      </w:r>
                      <w:r w:rsidR="000727B0">
                        <w:rPr>
                          <w:b/>
                          <w:bCs/>
                          <w:sz w:val="28"/>
                          <w:szCs w:val="28"/>
                        </w:rPr>
                        <w:t>7</w:t>
                      </w:r>
                    </w:p>
                    <w:p w14:paraId="3E092B26" w14:textId="77777777" w:rsidR="00F34B49" w:rsidRPr="00301792" w:rsidRDefault="00F34B49" w:rsidP="00F34B49">
                      <w:pPr>
                        <w:jc w:val="center"/>
                        <w:rPr>
                          <w:b/>
                          <w:bCs/>
                          <w:sz w:val="28"/>
                          <w:szCs w:val="28"/>
                        </w:rPr>
                      </w:pPr>
                    </w:p>
                  </w:txbxContent>
                </v:textbox>
              </v:rect>
            </w:pict>
          </mc:Fallback>
        </mc:AlternateContent>
      </w:r>
      <w:r w:rsidR="00075E9E" w:rsidRPr="00EF0429">
        <w:rPr>
          <w:sz w:val="26"/>
          <w:szCs w:val="26"/>
        </w:rPr>
        <w:t xml:space="preserve">In crescita </w:t>
      </w:r>
      <w:r w:rsidR="009037DB" w:rsidRPr="00EF0429">
        <w:rPr>
          <w:sz w:val="26"/>
          <w:szCs w:val="26"/>
        </w:rPr>
        <w:t>gli</w:t>
      </w:r>
      <w:r w:rsidR="00075E9E" w:rsidRPr="00EF0429">
        <w:rPr>
          <w:sz w:val="26"/>
          <w:szCs w:val="26"/>
        </w:rPr>
        <w:t xml:space="preserve"> </w:t>
      </w:r>
      <w:r w:rsidR="00075E9E" w:rsidRPr="00EF0429">
        <w:rPr>
          <w:b/>
          <w:bCs/>
          <w:sz w:val="26"/>
          <w:szCs w:val="26"/>
        </w:rPr>
        <w:t>investimenti energetici mondiali</w:t>
      </w:r>
      <w:r w:rsidR="00075E9E" w:rsidRPr="00EF0429">
        <w:rPr>
          <w:sz w:val="26"/>
          <w:szCs w:val="26"/>
        </w:rPr>
        <w:t xml:space="preserve"> </w:t>
      </w:r>
      <w:r w:rsidR="003A090F" w:rsidRPr="00EF0429">
        <w:rPr>
          <w:sz w:val="26"/>
          <w:szCs w:val="26"/>
        </w:rPr>
        <w:t xml:space="preserve">che </w:t>
      </w:r>
      <w:r w:rsidR="000A4E0D" w:rsidRPr="00EF0429">
        <w:rPr>
          <w:sz w:val="26"/>
          <w:szCs w:val="26"/>
        </w:rPr>
        <w:t>nel complesso</w:t>
      </w:r>
      <w:r w:rsidR="003A090F" w:rsidRPr="00EF0429">
        <w:rPr>
          <w:sz w:val="26"/>
          <w:szCs w:val="26"/>
        </w:rPr>
        <w:t xml:space="preserve"> sono ammontati a</w:t>
      </w:r>
      <w:r w:rsidR="007B4373" w:rsidRPr="00EF0429">
        <w:rPr>
          <w:sz w:val="26"/>
          <w:szCs w:val="26"/>
        </w:rPr>
        <w:t>d oltre 3.000 miliardi di dollari</w:t>
      </w:r>
      <w:r w:rsidR="007831E9" w:rsidRPr="00EF0429">
        <w:rPr>
          <w:sz w:val="26"/>
          <w:szCs w:val="26"/>
        </w:rPr>
        <w:t xml:space="preserve"> (+5% rispetto al 2023),</w:t>
      </w:r>
      <w:r w:rsidR="007B4373" w:rsidRPr="00EF0429">
        <w:rPr>
          <w:sz w:val="26"/>
          <w:szCs w:val="26"/>
        </w:rPr>
        <w:t xml:space="preserve"> di cui i due terzi in </w:t>
      </w:r>
      <w:r w:rsidR="007B4373" w:rsidRPr="00EF0429">
        <w:rPr>
          <w:b/>
          <w:bCs/>
          <w:sz w:val="26"/>
          <w:szCs w:val="26"/>
        </w:rPr>
        <w:t>clean energ</w:t>
      </w:r>
      <w:r w:rsidR="006403C1" w:rsidRPr="00EF0429">
        <w:rPr>
          <w:b/>
          <w:bCs/>
          <w:sz w:val="26"/>
          <w:szCs w:val="26"/>
        </w:rPr>
        <w:t>y</w:t>
      </w:r>
      <w:r w:rsidR="0028559C" w:rsidRPr="00EF0429">
        <w:rPr>
          <w:sz w:val="26"/>
          <w:szCs w:val="26"/>
        </w:rPr>
        <w:t>,</w:t>
      </w:r>
      <w:r w:rsidR="00B0796F" w:rsidRPr="00EF0429">
        <w:rPr>
          <w:sz w:val="26"/>
          <w:szCs w:val="26"/>
        </w:rPr>
        <w:t xml:space="preserve"> </w:t>
      </w:r>
      <w:r w:rsidR="00FD39D3" w:rsidRPr="00EF0429">
        <w:rPr>
          <w:sz w:val="26"/>
          <w:szCs w:val="26"/>
        </w:rPr>
        <w:t xml:space="preserve">in cui l’Europa ha </w:t>
      </w:r>
      <w:r w:rsidR="001D2BD1" w:rsidRPr="00EF0429">
        <w:rPr>
          <w:sz w:val="26"/>
          <w:szCs w:val="26"/>
        </w:rPr>
        <w:t xml:space="preserve">investito </w:t>
      </w:r>
      <w:r w:rsidR="007831E9" w:rsidRPr="00EF0429">
        <w:rPr>
          <w:sz w:val="26"/>
          <w:szCs w:val="26"/>
        </w:rPr>
        <w:t>l’85% delle risorse impiegate</w:t>
      </w:r>
      <w:r w:rsidR="006403C1" w:rsidRPr="00EF0429">
        <w:rPr>
          <w:sz w:val="26"/>
          <w:szCs w:val="26"/>
        </w:rPr>
        <w:t xml:space="preserve">, </w:t>
      </w:r>
      <w:r w:rsidR="007831E9" w:rsidRPr="00EF0429">
        <w:rPr>
          <w:sz w:val="26"/>
          <w:szCs w:val="26"/>
        </w:rPr>
        <w:t>contro il 7</w:t>
      </w:r>
      <w:r w:rsidR="00562D3E" w:rsidRPr="00EF0429">
        <w:rPr>
          <w:sz w:val="26"/>
          <w:szCs w:val="26"/>
        </w:rPr>
        <w:t>9</w:t>
      </w:r>
      <w:r w:rsidR="007831E9" w:rsidRPr="00EF0429">
        <w:rPr>
          <w:sz w:val="26"/>
          <w:szCs w:val="26"/>
        </w:rPr>
        <w:t>% della Cina e il 55% degli Stati Uniti.</w:t>
      </w:r>
      <w:r w:rsidR="00E56D05">
        <w:rPr>
          <w:sz w:val="26"/>
          <w:szCs w:val="26"/>
        </w:rPr>
        <w:t xml:space="preserve"> </w:t>
      </w:r>
    </w:p>
    <w:p w14:paraId="55ACEE90" w14:textId="5F981BB4" w:rsidR="00C94FF6" w:rsidRPr="00301792" w:rsidRDefault="007F4C7F" w:rsidP="00301792">
      <w:pPr>
        <w:ind w:right="1700"/>
        <w:jc w:val="both"/>
        <w:rPr>
          <w:sz w:val="26"/>
          <w:szCs w:val="26"/>
        </w:rPr>
      </w:pPr>
      <w:r>
        <w:rPr>
          <w:sz w:val="26"/>
          <w:szCs w:val="26"/>
        </w:rPr>
        <w:t xml:space="preserve">I soli </w:t>
      </w:r>
      <w:r w:rsidR="0050486B" w:rsidRPr="00301792">
        <w:rPr>
          <w:b/>
          <w:bCs/>
          <w:sz w:val="26"/>
          <w:szCs w:val="26"/>
        </w:rPr>
        <w:t xml:space="preserve">investimenti </w:t>
      </w:r>
      <w:r w:rsidR="002F1EB9">
        <w:rPr>
          <w:b/>
          <w:bCs/>
          <w:sz w:val="26"/>
          <w:szCs w:val="26"/>
        </w:rPr>
        <w:t>nell’</w:t>
      </w:r>
      <w:r w:rsidR="00B4282C">
        <w:rPr>
          <w:b/>
          <w:bCs/>
          <w:sz w:val="26"/>
          <w:szCs w:val="26"/>
        </w:rPr>
        <w:t xml:space="preserve">upstream </w:t>
      </w:r>
      <w:r w:rsidR="002F1EB9">
        <w:rPr>
          <w:b/>
          <w:bCs/>
          <w:sz w:val="26"/>
          <w:szCs w:val="26"/>
        </w:rPr>
        <w:t>Oil&amp;Gas</w:t>
      </w:r>
      <w:r w:rsidR="006D370E" w:rsidRPr="00301792">
        <w:rPr>
          <w:sz w:val="26"/>
          <w:szCs w:val="26"/>
        </w:rPr>
        <w:t xml:space="preserve"> </w:t>
      </w:r>
      <w:r w:rsidR="00D10DE2" w:rsidRPr="00301792">
        <w:rPr>
          <w:sz w:val="26"/>
          <w:szCs w:val="26"/>
        </w:rPr>
        <w:t xml:space="preserve">nel 2024 </w:t>
      </w:r>
      <w:r w:rsidR="006D370E" w:rsidRPr="00301792">
        <w:rPr>
          <w:sz w:val="26"/>
          <w:szCs w:val="26"/>
        </w:rPr>
        <w:t>sono stati pari a 57</w:t>
      </w:r>
      <w:r w:rsidR="00266241">
        <w:rPr>
          <w:sz w:val="26"/>
          <w:szCs w:val="26"/>
        </w:rPr>
        <w:t>6</w:t>
      </w:r>
      <w:r w:rsidR="006D370E" w:rsidRPr="00301792">
        <w:rPr>
          <w:sz w:val="26"/>
          <w:szCs w:val="26"/>
        </w:rPr>
        <w:t xml:space="preserve"> miliardi di dollari</w:t>
      </w:r>
      <w:r w:rsidR="00713DDE" w:rsidRPr="00301792">
        <w:rPr>
          <w:sz w:val="26"/>
          <w:szCs w:val="26"/>
        </w:rPr>
        <w:t>, il 7% in più rispetto al 202</w:t>
      </w:r>
      <w:r w:rsidR="00FA7A20" w:rsidRPr="00301792">
        <w:rPr>
          <w:sz w:val="26"/>
          <w:szCs w:val="26"/>
        </w:rPr>
        <w:t>3</w:t>
      </w:r>
      <w:r w:rsidR="00977E66" w:rsidRPr="00301792">
        <w:rPr>
          <w:sz w:val="26"/>
          <w:szCs w:val="26"/>
        </w:rPr>
        <w:t>,</w:t>
      </w:r>
      <w:r w:rsidR="00FA7A20" w:rsidRPr="00301792">
        <w:rPr>
          <w:sz w:val="26"/>
          <w:szCs w:val="26"/>
        </w:rPr>
        <w:t xml:space="preserve"> che diventa il </w:t>
      </w:r>
      <w:r w:rsidR="00266241">
        <w:rPr>
          <w:sz w:val="26"/>
          <w:szCs w:val="26"/>
        </w:rPr>
        <w:t>17</w:t>
      </w:r>
      <w:r w:rsidR="00FA7A20" w:rsidRPr="00301792">
        <w:rPr>
          <w:sz w:val="26"/>
          <w:szCs w:val="26"/>
        </w:rPr>
        <w:t xml:space="preserve">% </w:t>
      </w:r>
      <w:r w:rsidR="00896F89">
        <w:rPr>
          <w:sz w:val="26"/>
          <w:szCs w:val="26"/>
        </w:rPr>
        <w:t xml:space="preserve">in più </w:t>
      </w:r>
      <w:r w:rsidR="007E2E7F" w:rsidRPr="00301792">
        <w:rPr>
          <w:sz w:val="26"/>
          <w:szCs w:val="26"/>
        </w:rPr>
        <w:t xml:space="preserve">rispetto </w:t>
      </w:r>
      <w:r w:rsidR="00FA7A20" w:rsidRPr="00301792">
        <w:rPr>
          <w:sz w:val="26"/>
          <w:szCs w:val="26"/>
        </w:rPr>
        <w:t xml:space="preserve">al 2022 </w:t>
      </w:r>
      <w:r w:rsidR="007358DD" w:rsidRPr="00301792">
        <w:rPr>
          <w:sz w:val="26"/>
          <w:szCs w:val="26"/>
        </w:rPr>
        <w:t>anche se</w:t>
      </w:r>
      <w:r w:rsidR="007E2E7F" w:rsidRPr="00301792">
        <w:rPr>
          <w:sz w:val="26"/>
          <w:szCs w:val="26"/>
        </w:rPr>
        <w:t xml:space="preserve"> </w:t>
      </w:r>
      <w:r w:rsidR="0008216A" w:rsidRPr="00301792">
        <w:rPr>
          <w:sz w:val="26"/>
          <w:szCs w:val="26"/>
        </w:rPr>
        <w:t>c</w:t>
      </w:r>
      <w:r w:rsidR="007E2E7F" w:rsidRPr="00301792">
        <w:rPr>
          <w:sz w:val="26"/>
          <w:szCs w:val="26"/>
        </w:rPr>
        <w:t xml:space="preserve">on prezzi del Brent inferiori del </w:t>
      </w:r>
      <w:r w:rsidR="006F2A39">
        <w:rPr>
          <w:sz w:val="26"/>
          <w:szCs w:val="26"/>
        </w:rPr>
        <w:t>19</w:t>
      </w:r>
      <w:r w:rsidR="007E2E7F" w:rsidRPr="00301792">
        <w:rPr>
          <w:sz w:val="26"/>
          <w:szCs w:val="26"/>
        </w:rPr>
        <w:t>%</w:t>
      </w:r>
      <w:r w:rsidR="00EE510E" w:rsidRPr="00301792">
        <w:rPr>
          <w:sz w:val="26"/>
          <w:szCs w:val="26"/>
        </w:rPr>
        <w:t xml:space="preserve"> e del gas del </w:t>
      </w:r>
      <w:r w:rsidR="006F2A39">
        <w:rPr>
          <w:sz w:val="26"/>
          <w:szCs w:val="26"/>
        </w:rPr>
        <w:t>74</w:t>
      </w:r>
      <w:r w:rsidR="00EE510E" w:rsidRPr="00301792">
        <w:rPr>
          <w:sz w:val="26"/>
          <w:szCs w:val="26"/>
        </w:rPr>
        <w:t>%</w:t>
      </w:r>
      <w:r w:rsidR="007E2E7F" w:rsidRPr="00301792">
        <w:rPr>
          <w:sz w:val="26"/>
          <w:szCs w:val="26"/>
        </w:rPr>
        <w:t>. Spicca ancora una volta il ruolo centrale delle NOC (National Oil Company) che hanno coperto oltre il 40% di questi investimenti rispetto al 25% di dieci anni fa, a fronte di un</w:t>
      </w:r>
      <w:r w:rsidR="00E56D05">
        <w:rPr>
          <w:sz w:val="26"/>
          <w:szCs w:val="26"/>
        </w:rPr>
        <w:t>a riduzione di circa</w:t>
      </w:r>
      <w:r w:rsidR="001373C9">
        <w:rPr>
          <w:sz w:val="26"/>
          <w:szCs w:val="26"/>
        </w:rPr>
        <w:t xml:space="preserve"> il</w:t>
      </w:r>
      <w:r w:rsidR="007E2E7F" w:rsidRPr="00301792">
        <w:rPr>
          <w:sz w:val="26"/>
          <w:szCs w:val="26"/>
        </w:rPr>
        <w:t xml:space="preserve"> 20% da parte delle IOC (International Oil Company).</w:t>
      </w:r>
    </w:p>
    <w:p w14:paraId="7E3E2CE3" w14:textId="560437EE" w:rsidR="00B85FEF" w:rsidRPr="00301792" w:rsidRDefault="00CB6FD9" w:rsidP="00301792">
      <w:pPr>
        <w:ind w:right="1700"/>
        <w:jc w:val="both"/>
        <w:rPr>
          <w:b/>
          <w:bCs/>
          <w:sz w:val="26"/>
          <w:szCs w:val="26"/>
        </w:rPr>
      </w:pPr>
      <w:r>
        <w:rPr>
          <w:b/>
          <w:bCs/>
          <w:noProof/>
          <w:sz w:val="26"/>
          <w:szCs w:val="26"/>
        </w:rPr>
        <mc:AlternateContent>
          <mc:Choice Requires="wps">
            <w:drawing>
              <wp:anchor distT="0" distB="0" distL="114300" distR="114300" simplePos="0" relativeHeight="251656704" behindDoc="0" locked="0" layoutInCell="1" allowOverlap="1" wp14:anchorId="560D9C02" wp14:editId="5E48DDFF">
                <wp:simplePos x="0" y="0"/>
                <wp:positionH relativeFrom="column">
                  <wp:posOffset>5374640</wp:posOffset>
                </wp:positionH>
                <wp:positionV relativeFrom="paragraph">
                  <wp:posOffset>45416</wp:posOffset>
                </wp:positionV>
                <wp:extent cx="1017270" cy="309880"/>
                <wp:effectExtent l="0" t="0" r="11430" b="13970"/>
                <wp:wrapNone/>
                <wp:docPr id="800729317"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64B1E0" w14:textId="06ECC918" w:rsidR="00CB6FD9" w:rsidRPr="00301792" w:rsidRDefault="00CB6FD9" w:rsidP="00CB6FD9">
                            <w:pPr>
                              <w:jc w:val="center"/>
                              <w:rPr>
                                <w:b/>
                                <w:bCs/>
                                <w:sz w:val="28"/>
                                <w:szCs w:val="28"/>
                              </w:rPr>
                            </w:pPr>
                            <w:r w:rsidRPr="00301792">
                              <w:rPr>
                                <w:b/>
                                <w:bCs/>
                                <w:sz w:val="28"/>
                                <w:szCs w:val="28"/>
                              </w:rPr>
                              <w:t xml:space="preserve">Slide </w:t>
                            </w:r>
                            <w:r>
                              <w:rPr>
                                <w:b/>
                                <w:bCs/>
                                <w:sz w:val="28"/>
                                <w:szCs w:val="28"/>
                              </w:rPr>
                              <w:t>8</w:t>
                            </w:r>
                          </w:p>
                          <w:p w14:paraId="4608A63B" w14:textId="77777777" w:rsidR="00CB6FD9" w:rsidRPr="00301792" w:rsidRDefault="00CB6FD9" w:rsidP="00CB6FD9">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9C02" id="_x0000_s1035" style="position:absolute;left:0;text-align:left;margin-left:423.2pt;margin-top:3.6pt;width:80.1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PiAIAAJo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" fillcolor="#0070c0" strokecolor="#0070c0" strokeweight="1pt">
                <v:textbox>
                  <w:txbxContent>
                    <w:p w14:paraId="2464B1E0" w14:textId="06ECC918" w:rsidR="00CB6FD9" w:rsidRPr="00301792" w:rsidRDefault="00CB6FD9" w:rsidP="00CB6FD9">
                      <w:pPr>
                        <w:jc w:val="center"/>
                        <w:rPr>
                          <w:b/>
                          <w:bCs/>
                          <w:sz w:val="28"/>
                          <w:szCs w:val="28"/>
                        </w:rPr>
                      </w:pPr>
                      <w:r w:rsidRPr="00301792">
                        <w:rPr>
                          <w:b/>
                          <w:bCs/>
                          <w:sz w:val="28"/>
                          <w:szCs w:val="28"/>
                        </w:rPr>
                        <w:t xml:space="preserve">Slide </w:t>
                      </w:r>
                      <w:r>
                        <w:rPr>
                          <w:b/>
                          <w:bCs/>
                          <w:sz w:val="28"/>
                          <w:szCs w:val="28"/>
                        </w:rPr>
                        <w:t>8</w:t>
                      </w:r>
                    </w:p>
                    <w:p w14:paraId="4608A63B" w14:textId="77777777" w:rsidR="00CB6FD9" w:rsidRPr="00301792" w:rsidRDefault="00CB6FD9" w:rsidP="00CB6FD9">
                      <w:pPr>
                        <w:jc w:val="center"/>
                        <w:rPr>
                          <w:b/>
                          <w:bCs/>
                          <w:sz w:val="28"/>
                          <w:szCs w:val="28"/>
                        </w:rPr>
                      </w:pPr>
                    </w:p>
                  </w:txbxContent>
                </v:textbox>
              </v:rect>
            </w:pict>
          </mc:Fallback>
        </mc:AlternateContent>
      </w:r>
      <w:r w:rsidR="00731FFA" w:rsidRPr="00301792">
        <w:rPr>
          <w:sz w:val="26"/>
          <w:szCs w:val="26"/>
        </w:rPr>
        <w:t xml:space="preserve">In calo </w:t>
      </w:r>
      <w:r w:rsidR="009E39A7" w:rsidRPr="00301792">
        <w:rPr>
          <w:sz w:val="26"/>
          <w:szCs w:val="26"/>
        </w:rPr>
        <w:t xml:space="preserve">del 5% </w:t>
      </w:r>
      <w:r w:rsidR="00731FFA" w:rsidRPr="00301792">
        <w:rPr>
          <w:sz w:val="26"/>
          <w:szCs w:val="26"/>
        </w:rPr>
        <w:t xml:space="preserve">gli investimenti in nuova </w:t>
      </w:r>
      <w:r w:rsidR="0079191D" w:rsidRPr="00301792">
        <w:rPr>
          <w:b/>
          <w:bCs/>
          <w:sz w:val="26"/>
          <w:szCs w:val="26"/>
        </w:rPr>
        <w:t>capacità di raffinazione</w:t>
      </w:r>
      <w:r w:rsidR="0079191D" w:rsidRPr="00301792">
        <w:rPr>
          <w:sz w:val="26"/>
          <w:szCs w:val="26"/>
        </w:rPr>
        <w:t xml:space="preserve"> </w:t>
      </w:r>
      <w:r w:rsidR="001074F2" w:rsidRPr="00301792">
        <w:rPr>
          <w:sz w:val="26"/>
          <w:szCs w:val="26"/>
        </w:rPr>
        <w:t xml:space="preserve">che </w:t>
      </w:r>
      <w:r w:rsidR="00864CE8" w:rsidRPr="00301792">
        <w:rPr>
          <w:sz w:val="26"/>
          <w:szCs w:val="26"/>
        </w:rPr>
        <w:t xml:space="preserve">nel 2024 è cresciuta di </w:t>
      </w:r>
      <w:r w:rsidR="00EE2A4A">
        <w:rPr>
          <w:sz w:val="26"/>
          <w:szCs w:val="26"/>
        </w:rPr>
        <w:t>0,8 milioni</w:t>
      </w:r>
      <w:r w:rsidR="001074F2" w:rsidRPr="00301792">
        <w:rPr>
          <w:sz w:val="26"/>
          <w:szCs w:val="26"/>
        </w:rPr>
        <w:t xml:space="preserve"> b/g</w:t>
      </w:r>
      <w:r w:rsidR="005D3A88" w:rsidRPr="00301792">
        <w:rPr>
          <w:sz w:val="26"/>
          <w:szCs w:val="26"/>
        </w:rPr>
        <w:t xml:space="preserve">, concentrata principalmente </w:t>
      </w:r>
      <w:r w:rsidR="002C036D" w:rsidRPr="00301792">
        <w:rPr>
          <w:sz w:val="26"/>
          <w:szCs w:val="26"/>
        </w:rPr>
        <w:t>in Cina e India,</w:t>
      </w:r>
      <w:r w:rsidR="001074F2" w:rsidRPr="00301792">
        <w:rPr>
          <w:sz w:val="26"/>
          <w:szCs w:val="26"/>
        </w:rPr>
        <w:t xml:space="preserve"> a fronte di chiusure </w:t>
      </w:r>
      <w:r w:rsidR="00F8390E" w:rsidRPr="00301792">
        <w:rPr>
          <w:sz w:val="26"/>
          <w:szCs w:val="26"/>
        </w:rPr>
        <w:t xml:space="preserve">complessive </w:t>
      </w:r>
      <w:r w:rsidR="001074F2" w:rsidRPr="00301792">
        <w:rPr>
          <w:sz w:val="26"/>
          <w:szCs w:val="26"/>
        </w:rPr>
        <w:t xml:space="preserve">pari a 1,3 milioni b/g </w:t>
      </w:r>
      <w:r w:rsidR="005D3A88" w:rsidRPr="00301792">
        <w:rPr>
          <w:sz w:val="26"/>
          <w:szCs w:val="26"/>
        </w:rPr>
        <w:t>all’anno nel</w:t>
      </w:r>
      <w:r w:rsidR="00ED6E41" w:rsidRPr="00301792">
        <w:rPr>
          <w:sz w:val="26"/>
          <w:szCs w:val="26"/>
        </w:rPr>
        <w:t xml:space="preserve"> periodo 2020-</w:t>
      </w:r>
      <w:r w:rsidR="00966B2E" w:rsidRPr="00301792">
        <w:rPr>
          <w:sz w:val="26"/>
          <w:szCs w:val="26"/>
        </w:rPr>
        <w:t>2022.</w:t>
      </w:r>
    </w:p>
    <w:p w14:paraId="6460FB39" w14:textId="0BC0BA37" w:rsidR="008D47BF" w:rsidRDefault="00DC4A4B" w:rsidP="00301792">
      <w:pPr>
        <w:ind w:right="1700"/>
        <w:jc w:val="both"/>
        <w:rPr>
          <w:sz w:val="26"/>
          <w:szCs w:val="26"/>
        </w:rPr>
      </w:pPr>
      <w:r w:rsidRPr="00301792">
        <w:rPr>
          <w:sz w:val="26"/>
          <w:szCs w:val="26"/>
        </w:rPr>
        <w:t>In aumento invece g</w:t>
      </w:r>
      <w:r w:rsidR="007C3223" w:rsidRPr="00301792">
        <w:rPr>
          <w:sz w:val="26"/>
          <w:szCs w:val="26"/>
        </w:rPr>
        <w:t xml:space="preserve">li </w:t>
      </w:r>
      <w:r w:rsidR="007C3223" w:rsidRPr="006B099D">
        <w:rPr>
          <w:sz w:val="26"/>
          <w:szCs w:val="26"/>
        </w:rPr>
        <w:t>investimenti in</w:t>
      </w:r>
      <w:r w:rsidR="007C3223" w:rsidRPr="00301792">
        <w:rPr>
          <w:b/>
          <w:bCs/>
          <w:sz w:val="26"/>
          <w:szCs w:val="26"/>
        </w:rPr>
        <w:t xml:space="preserve"> </w:t>
      </w:r>
      <w:r w:rsidR="00A75400" w:rsidRPr="00301792">
        <w:rPr>
          <w:b/>
          <w:bCs/>
          <w:sz w:val="26"/>
          <w:szCs w:val="26"/>
        </w:rPr>
        <w:t>biofuels</w:t>
      </w:r>
      <w:r w:rsidR="00A75400" w:rsidRPr="00301792">
        <w:rPr>
          <w:sz w:val="26"/>
          <w:szCs w:val="26"/>
        </w:rPr>
        <w:t xml:space="preserve"> destinati </w:t>
      </w:r>
      <w:r w:rsidR="0094424C" w:rsidRPr="00301792">
        <w:rPr>
          <w:sz w:val="26"/>
          <w:szCs w:val="26"/>
        </w:rPr>
        <w:t>al trasporto</w:t>
      </w:r>
      <w:r w:rsidR="00EA01C3" w:rsidRPr="00301792">
        <w:rPr>
          <w:sz w:val="26"/>
          <w:szCs w:val="26"/>
        </w:rPr>
        <w:t>,</w:t>
      </w:r>
      <w:r w:rsidR="0094424C" w:rsidRPr="00301792">
        <w:rPr>
          <w:sz w:val="26"/>
          <w:szCs w:val="26"/>
        </w:rPr>
        <w:t xml:space="preserve"> </w:t>
      </w:r>
      <w:r w:rsidRPr="00301792">
        <w:rPr>
          <w:sz w:val="26"/>
          <w:szCs w:val="26"/>
        </w:rPr>
        <w:t>cresciuti</w:t>
      </w:r>
      <w:r w:rsidR="00736E00" w:rsidRPr="00301792">
        <w:rPr>
          <w:sz w:val="26"/>
          <w:szCs w:val="26"/>
        </w:rPr>
        <w:t xml:space="preserve"> dell’8% rispetto all’anno precedente </w:t>
      </w:r>
      <w:r w:rsidR="008A6ADF" w:rsidRPr="00301792">
        <w:rPr>
          <w:sz w:val="26"/>
          <w:szCs w:val="26"/>
        </w:rPr>
        <w:t>grazie soprattutto a nuovi progetti negli Stati Uniti sul diesel rinnovabil</w:t>
      </w:r>
      <w:r w:rsidR="00EA01C3" w:rsidRPr="00301792">
        <w:rPr>
          <w:sz w:val="26"/>
          <w:szCs w:val="26"/>
        </w:rPr>
        <w:t>e</w:t>
      </w:r>
      <w:r w:rsidR="008A6ADF" w:rsidRPr="00301792">
        <w:rPr>
          <w:sz w:val="26"/>
          <w:szCs w:val="26"/>
        </w:rPr>
        <w:t>, in Brasile sul</w:t>
      </w:r>
      <w:r w:rsidR="0015211F">
        <w:rPr>
          <w:sz w:val="26"/>
          <w:szCs w:val="26"/>
        </w:rPr>
        <w:t xml:space="preserve"> bio</w:t>
      </w:r>
      <w:r w:rsidR="008A6ADF" w:rsidRPr="00301792">
        <w:rPr>
          <w:sz w:val="26"/>
          <w:szCs w:val="26"/>
        </w:rPr>
        <w:t xml:space="preserve">etanolo </w:t>
      </w:r>
      <w:r w:rsidR="004C380D" w:rsidRPr="00301792">
        <w:rPr>
          <w:sz w:val="26"/>
          <w:szCs w:val="26"/>
        </w:rPr>
        <w:t xml:space="preserve">e, anche se in misura minore, in Europa </w:t>
      </w:r>
      <w:r w:rsidR="007A6C72" w:rsidRPr="00301792">
        <w:rPr>
          <w:sz w:val="26"/>
          <w:szCs w:val="26"/>
        </w:rPr>
        <w:t xml:space="preserve">su SAF e </w:t>
      </w:r>
      <w:r w:rsidR="008F57E3" w:rsidRPr="00301792">
        <w:rPr>
          <w:sz w:val="26"/>
          <w:szCs w:val="26"/>
        </w:rPr>
        <w:t>diesel</w:t>
      </w:r>
      <w:r w:rsidR="000D02B8">
        <w:rPr>
          <w:sz w:val="26"/>
          <w:szCs w:val="26"/>
        </w:rPr>
        <w:t xml:space="preserve"> rinnovabile</w:t>
      </w:r>
      <w:r w:rsidR="00A6548F" w:rsidRPr="00301792">
        <w:rPr>
          <w:sz w:val="26"/>
          <w:szCs w:val="26"/>
        </w:rPr>
        <w:t xml:space="preserve">. </w:t>
      </w:r>
    </w:p>
    <w:p w14:paraId="7097411B" w14:textId="6998B5B4" w:rsidR="001502D2" w:rsidRPr="00301792" w:rsidRDefault="000D02B8" w:rsidP="00301792">
      <w:pPr>
        <w:ind w:right="1700"/>
        <w:jc w:val="both"/>
        <w:rPr>
          <w:sz w:val="26"/>
          <w:szCs w:val="26"/>
        </w:rPr>
      </w:pPr>
      <w:r>
        <w:rPr>
          <w:b/>
          <w:bCs/>
          <w:noProof/>
          <w:sz w:val="26"/>
          <w:szCs w:val="26"/>
        </w:rPr>
        <mc:AlternateContent>
          <mc:Choice Requires="wps">
            <w:drawing>
              <wp:anchor distT="0" distB="0" distL="114300" distR="114300" simplePos="0" relativeHeight="251659776" behindDoc="0" locked="0" layoutInCell="1" allowOverlap="1" wp14:anchorId="57A89B3B" wp14:editId="155D88FE">
                <wp:simplePos x="0" y="0"/>
                <wp:positionH relativeFrom="column">
                  <wp:posOffset>5374640</wp:posOffset>
                </wp:positionH>
                <wp:positionV relativeFrom="paragraph">
                  <wp:posOffset>34621</wp:posOffset>
                </wp:positionV>
                <wp:extent cx="1017270" cy="309880"/>
                <wp:effectExtent l="0" t="0" r="11430" b="13970"/>
                <wp:wrapNone/>
                <wp:docPr id="1301426477"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47D852" w14:textId="39E5DCD4" w:rsidR="00DF5F3F" w:rsidRPr="00301792" w:rsidRDefault="00DF5F3F" w:rsidP="00DF5F3F">
                            <w:pPr>
                              <w:jc w:val="center"/>
                              <w:rPr>
                                <w:b/>
                                <w:bCs/>
                                <w:sz w:val="28"/>
                                <w:szCs w:val="28"/>
                              </w:rPr>
                            </w:pPr>
                            <w:r w:rsidRPr="00301792">
                              <w:rPr>
                                <w:b/>
                                <w:bCs/>
                                <w:sz w:val="28"/>
                                <w:szCs w:val="28"/>
                              </w:rPr>
                              <w:t xml:space="preserve">Slide </w:t>
                            </w:r>
                            <w:r>
                              <w:rPr>
                                <w:b/>
                                <w:bCs/>
                                <w:sz w:val="28"/>
                                <w:szCs w:val="28"/>
                              </w:rPr>
                              <w:t>9</w:t>
                            </w:r>
                          </w:p>
                          <w:p w14:paraId="4A42AC1D" w14:textId="77777777" w:rsidR="00DF5F3F" w:rsidRPr="00301792" w:rsidRDefault="00DF5F3F" w:rsidP="00DF5F3F">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9B3B" id="_x0000_s1036" style="position:absolute;left:0;text-align:left;margin-left:423.2pt;margin-top:2.75pt;width:80.1pt;height:2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" fillcolor="#0070c0" strokecolor="#0070c0" strokeweight="1pt">
                <v:textbox>
                  <w:txbxContent>
                    <w:p w14:paraId="6747D852" w14:textId="39E5DCD4" w:rsidR="00DF5F3F" w:rsidRPr="00301792" w:rsidRDefault="00DF5F3F" w:rsidP="00DF5F3F">
                      <w:pPr>
                        <w:jc w:val="center"/>
                        <w:rPr>
                          <w:b/>
                          <w:bCs/>
                          <w:sz w:val="28"/>
                          <w:szCs w:val="28"/>
                        </w:rPr>
                      </w:pPr>
                      <w:r w:rsidRPr="00301792">
                        <w:rPr>
                          <w:b/>
                          <w:bCs/>
                          <w:sz w:val="28"/>
                          <w:szCs w:val="28"/>
                        </w:rPr>
                        <w:t xml:space="preserve">Slide </w:t>
                      </w:r>
                      <w:r>
                        <w:rPr>
                          <w:b/>
                          <w:bCs/>
                          <w:sz w:val="28"/>
                          <w:szCs w:val="28"/>
                        </w:rPr>
                        <w:t>9</w:t>
                      </w:r>
                    </w:p>
                    <w:p w14:paraId="4A42AC1D" w14:textId="77777777" w:rsidR="00DF5F3F" w:rsidRPr="00301792" w:rsidRDefault="00DF5F3F" w:rsidP="00DF5F3F">
                      <w:pPr>
                        <w:jc w:val="center"/>
                        <w:rPr>
                          <w:b/>
                          <w:bCs/>
                          <w:sz w:val="28"/>
                          <w:szCs w:val="28"/>
                        </w:rPr>
                      </w:pPr>
                    </w:p>
                  </w:txbxContent>
                </v:textbox>
              </v:rect>
            </w:pict>
          </mc:Fallback>
        </mc:AlternateContent>
      </w:r>
      <w:r w:rsidR="00A6548F" w:rsidRPr="00301792">
        <w:rPr>
          <w:sz w:val="26"/>
          <w:szCs w:val="26"/>
        </w:rPr>
        <w:t xml:space="preserve">Negli ultimi dieci anni la produzione </w:t>
      </w:r>
      <w:r w:rsidR="00262A7C">
        <w:rPr>
          <w:sz w:val="26"/>
          <w:szCs w:val="26"/>
        </w:rPr>
        <w:t>mondiale</w:t>
      </w:r>
      <w:r w:rsidR="00262A7C" w:rsidRPr="00301792">
        <w:rPr>
          <w:sz w:val="26"/>
          <w:szCs w:val="26"/>
        </w:rPr>
        <w:t xml:space="preserve"> </w:t>
      </w:r>
      <w:r w:rsidR="00A6548F" w:rsidRPr="00301792">
        <w:rPr>
          <w:sz w:val="26"/>
          <w:szCs w:val="26"/>
        </w:rPr>
        <w:t xml:space="preserve">di biocarburanti </w:t>
      </w:r>
      <w:r w:rsidR="00A26BBA" w:rsidRPr="00301792">
        <w:rPr>
          <w:sz w:val="26"/>
          <w:szCs w:val="26"/>
        </w:rPr>
        <w:t xml:space="preserve">è aumentata del </w:t>
      </w:r>
      <w:r w:rsidR="00582D71" w:rsidRPr="00301792">
        <w:rPr>
          <w:sz w:val="26"/>
          <w:szCs w:val="26"/>
        </w:rPr>
        <w:t>44</w:t>
      </w:r>
      <w:r w:rsidR="00A26BBA" w:rsidRPr="00301792">
        <w:rPr>
          <w:sz w:val="26"/>
          <w:szCs w:val="26"/>
        </w:rPr>
        <w:t>%</w:t>
      </w:r>
      <w:r w:rsidR="002306A2" w:rsidRPr="00301792">
        <w:rPr>
          <w:sz w:val="26"/>
          <w:szCs w:val="26"/>
        </w:rPr>
        <w:t xml:space="preserve"> arrivando a superare</w:t>
      </w:r>
      <w:r w:rsidR="009924B1" w:rsidRPr="00301792">
        <w:rPr>
          <w:sz w:val="26"/>
          <w:szCs w:val="26"/>
        </w:rPr>
        <w:t xml:space="preserve"> nel 2024</w:t>
      </w:r>
      <w:r w:rsidR="002306A2" w:rsidRPr="00301792">
        <w:rPr>
          <w:sz w:val="26"/>
          <w:szCs w:val="26"/>
        </w:rPr>
        <w:t xml:space="preserve"> i </w:t>
      </w:r>
      <w:r w:rsidR="00582D71" w:rsidRPr="00301792">
        <w:rPr>
          <w:sz w:val="26"/>
          <w:szCs w:val="26"/>
        </w:rPr>
        <w:t>3</w:t>
      </w:r>
      <w:r w:rsidR="00806F1A" w:rsidRPr="00301792">
        <w:rPr>
          <w:sz w:val="26"/>
          <w:szCs w:val="26"/>
        </w:rPr>
        <w:t>,3</w:t>
      </w:r>
      <w:r w:rsidR="00582D71" w:rsidRPr="00301792">
        <w:rPr>
          <w:sz w:val="26"/>
          <w:szCs w:val="26"/>
        </w:rPr>
        <w:t xml:space="preserve"> </w:t>
      </w:r>
      <w:r w:rsidR="002306A2" w:rsidRPr="00301792">
        <w:rPr>
          <w:sz w:val="26"/>
          <w:szCs w:val="26"/>
        </w:rPr>
        <w:t>milioni b/g</w:t>
      </w:r>
      <w:r w:rsidR="009924B1" w:rsidRPr="00301792">
        <w:rPr>
          <w:sz w:val="26"/>
          <w:szCs w:val="26"/>
        </w:rPr>
        <w:t>, di cui i</w:t>
      </w:r>
      <w:r w:rsidR="001502D2" w:rsidRPr="00301792">
        <w:rPr>
          <w:sz w:val="26"/>
          <w:szCs w:val="26"/>
        </w:rPr>
        <w:t xml:space="preserve">l </w:t>
      </w:r>
      <w:r w:rsidR="00582D71" w:rsidRPr="00301792">
        <w:rPr>
          <w:sz w:val="26"/>
          <w:szCs w:val="26"/>
        </w:rPr>
        <w:t>40</w:t>
      </w:r>
      <w:r w:rsidR="00EE10B6" w:rsidRPr="00301792">
        <w:rPr>
          <w:sz w:val="26"/>
          <w:szCs w:val="26"/>
        </w:rPr>
        <w:t xml:space="preserve">% concentrato negli Stati Uniti, il </w:t>
      </w:r>
      <w:r w:rsidR="002A531E" w:rsidRPr="00301792">
        <w:rPr>
          <w:sz w:val="26"/>
          <w:szCs w:val="26"/>
        </w:rPr>
        <w:t>24</w:t>
      </w:r>
      <w:r w:rsidR="00EE10B6" w:rsidRPr="00301792">
        <w:rPr>
          <w:sz w:val="26"/>
          <w:szCs w:val="26"/>
        </w:rPr>
        <w:t xml:space="preserve">% in Brasile e il </w:t>
      </w:r>
      <w:r w:rsidR="002A531E" w:rsidRPr="00301792">
        <w:rPr>
          <w:sz w:val="26"/>
          <w:szCs w:val="26"/>
        </w:rPr>
        <w:t>13</w:t>
      </w:r>
      <w:r w:rsidR="00EE10B6" w:rsidRPr="00301792">
        <w:rPr>
          <w:sz w:val="26"/>
          <w:szCs w:val="26"/>
        </w:rPr>
        <w:t>% nella UE</w:t>
      </w:r>
      <w:r w:rsidR="00262A7C">
        <w:rPr>
          <w:sz w:val="26"/>
          <w:szCs w:val="26"/>
        </w:rPr>
        <w:t>. Ciò</w:t>
      </w:r>
      <w:r w:rsidR="00573780" w:rsidRPr="00301792">
        <w:rPr>
          <w:sz w:val="26"/>
          <w:szCs w:val="26"/>
        </w:rPr>
        <w:t xml:space="preserve"> a fronte di una domanda che, stando alle stime dell’AIE, al 2030 dovrebbe </w:t>
      </w:r>
      <w:r w:rsidR="00C936C8" w:rsidRPr="00301792">
        <w:rPr>
          <w:sz w:val="26"/>
          <w:szCs w:val="26"/>
        </w:rPr>
        <w:t>arrivare a 3,7</w:t>
      </w:r>
      <w:r w:rsidR="00573780" w:rsidRPr="00301792">
        <w:rPr>
          <w:sz w:val="26"/>
          <w:szCs w:val="26"/>
        </w:rPr>
        <w:t xml:space="preserve"> milioni b/g</w:t>
      </w:r>
      <w:r w:rsidR="00C936C8" w:rsidRPr="00301792">
        <w:rPr>
          <w:sz w:val="26"/>
          <w:szCs w:val="26"/>
        </w:rPr>
        <w:t>.</w:t>
      </w:r>
    </w:p>
    <w:p w14:paraId="10361D0C" w14:textId="129679B5" w:rsidR="00052F43" w:rsidRDefault="00052F43" w:rsidP="00301792">
      <w:pPr>
        <w:ind w:right="1700"/>
        <w:jc w:val="both"/>
        <w:rPr>
          <w:sz w:val="26"/>
          <w:szCs w:val="26"/>
        </w:rPr>
      </w:pPr>
    </w:p>
    <w:p w14:paraId="34483210" w14:textId="77777777" w:rsidR="00516E12" w:rsidRDefault="00516E12" w:rsidP="00B975D7">
      <w:pPr>
        <w:ind w:left="-567" w:right="-1"/>
        <w:jc w:val="center"/>
        <w:rPr>
          <w:sz w:val="26"/>
          <w:szCs w:val="26"/>
        </w:rPr>
      </w:pPr>
    </w:p>
    <w:p w14:paraId="44A6A270" w14:textId="082DFE4B" w:rsidR="00B975D7" w:rsidRPr="00B975D7" w:rsidRDefault="00516E12" w:rsidP="00B975D7">
      <w:pPr>
        <w:ind w:left="-567" w:right="-1"/>
        <w:jc w:val="center"/>
        <w:rPr>
          <w:b/>
          <w:bCs/>
          <w:color w:val="0070C0"/>
          <w:sz w:val="32"/>
          <w:szCs w:val="32"/>
        </w:rPr>
      </w:pPr>
      <w:r>
        <w:rPr>
          <w:b/>
          <w:bCs/>
          <w:noProof/>
          <w:color w:val="0070C0"/>
          <w:sz w:val="28"/>
          <w:szCs w:val="28"/>
        </w:rPr>
        <w:lastRenderedPageBreak/>
        <mc:AlternateContent>
          <mc:Choice Requires="wps">
            <w:drawing>
              <wp:anchor distT="0" distB="0" distL="114300" distR="114300" simplePos="0" relativeHeight="251658240" behindDoc="0" locked="0" layoutInCell="1" allowOverlap="1" wp14:anchorId="6D073AE2" wp14:editId="696E82F3">
                <wp:simplePos x="0" y="0"/>
                <wp:positionH relativeFrom="column">
                  <wp:posOffset>-24765</wp:posOffset>
                </wp:positionH>
                <wp:positionV relativeFrom="paragraph">
                  <wp:posOffset>-219710</wp:posOffset>
                </wp:positionV>
                <wp:extent cx="6026785" cy="9001125"/>
                <wp:effectExtent l="0" t="0" r="12065" b="28575"/>
                <wp:wrapNone/>
                <wp:docPr id="573866797" name="Rettangolo 28"/>
                <wp:cNvGraphicFramePr/>
                <a:graphic xmlns:a="http://schemas.openxmlformats.org/drawingml/2006/main">
                  <a:graphicData uri="http://schemas.microsoft.com/office/word/2010/wordprocessingShape">
                    <wps:wsp>
                      <wps:cNvSpPr/>
                      <wps:spPr>
                        <a:xfrm>
                          <a:off x="0" y="0"/>
                          <a:ext cx="6026785" cy="90011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503C" id="Rettangolo 28" o:spid="_x0000_s1026" style="position:absolute;margin-left:-1.95pt;margin-top:-17.3pt;width:474.55pt;height:7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" filled="f" strokecolor="black [3213]" strokeweight="1pt"/>
            </w:pict>
          </mc:Fallback>
        </mc:AlternateContent>
      </w:r>
      <w:r w:rsidR="00B975D7" w:rsidRPr="00B975D7">
        <w:rPr>
          <w:b/>
          <w:bCs/>
          <w:color w:val="0070C0"/>
          <w:sz w:val="32"/>
          <w:szCs w:val="32"/>
        </w:rPr>
        <w:t>HIGHLI</w:t>
      </w:r>
      <w:r w:rsidR="00314109">
        <w:rPr>
          <w:b/>
          <w:bCs/>
          <w:color w:val="0070C0"/>
          <w:sz w:val="32"/>
          <w:szCs w:val="32"/>
        </w:rPr>
        <w:t>G</w:t>
      </w:r>
      <w:r w:rsidR="00B975D7" w:rsidRPr="00B975D7">
        <w:rPr>
          <w:b/>
          <w:bCs/>
          <w:color w:val="0070C0"/>
          <w:sz w:val="32"/>
          <w:szCs w:val="32"/>
        </w:rPr>
        <w:t>HTS</w:t>
      </w:r>
    </w:p>
    <w:p w14:paraId="5EEBD117" w14:textId="1F86CFA3" w:rsidR="00BF0322" w:rsidRDefault="00B975D7" w:rsidP="008655C7">
      <w:pPr>
        <w:ind w:left="567" w:right="1133"/>
        <w:jc w:val="center"/>
        <w:rPr>
          <w:sz w:val="26"/>
          <w:szCs w:val="26"/>
        </w:rPr>
      </w:pPr>
      <w:r w:rsidRPr="00B975D7">
        <w:rPr>
          <w:sz w:val="26"/>
          <w:szCs w:val="26"/>
        </w:rPr>
        <w:t>Nel 2024</w:t>
      </w:r>
      <w:r w:rsidR="00BF0322">
        <w:rPr>
          <w:sz w:val="26"/>
          <w:szCs w:val="26"/>
        </w:rPr>
        <w:t xml:space="preserve"> la </w:t>
      </w:r>
      <w:r w:rsidR="00BF0322" w:rsidRPr="00BF0322">
        <w:rPr>
          <w:b/>
          <w:bCs/>
          <w:sz w:val="26"/>
          <w:szCs w:val="26"/>
        </w:rPr>
        <w:t>domanda di energia</w:t>
      </w:r>
      <w:r w:rsidR="00BF0322">
        <w:rPr>
          <w:sz w:val="26"/>
          <w:szCs w:val="26"/>
        </w:rPr>
        <w:t xml:space="preserve"> si stima sullo stesso livello dello scorso anno (144</w:t>
      </w:r>
      <w:r w:rsidR="00F748B9">
        <w:rPr>
          <w:sz w:val="26"/>
          <w:szCs w:val="26"/>
        </w:rPr>
        <w:t>,3</w:t>
      </w:r>
      <w:r w:rsidR="00BF0322">
        <w:rPr>
          <w:sz w:val="26"/>
          <w:szCs w:val="26"/>
        </w:rPr>
        <w:t xml:space="preserve"> Mtep), ma inferiore dell’8,</w:t>
      </w:r>
      <w:r w:rsidR="000E5629">
        <w:rPr>
          <w:sz w:val="26"/>
          <w:szCs w:val="26"/>
        </w:rPr>
        <w:t>7</w:t>
      </w:r>
      <w:r w:rsidR="00BF0322">
        <w:rPr>
          <w:sz w:val="26"/>
          <w:szCs w:val="26"/>
        </w:rPr>
        <w:t>% rispetto al 2019</w:t>
      </w:r>
      <w:r w:rsidR="00120E51">
        <w:rPr>
          <w:sz w:val="26"/>
          <w:szCs w:val="26"/>
        </w:rPr>
        <w:t>.</w:t>
      </w:r>
    </w:p>
    <w:p w14:paraId="5A0646DC" w14:textId="2DBD5E07" w:rsidR="00BF0322" w:rsidRDefault="00BF0322" w:rsidP="008655C7">
      <w:pPr>
        <w:ind w:left="567" w:right="1133"/>
        <w:jc w:val="center"/>
        <w:rPr>
          <w:sz w:val="26"/>
          <w:szCs w:val="26"/>
        </w:rPr>
      </w:pPr>
      <w:r>
        <w:rPr>
          <w:sz w:val="26"/>
          <w:szCs w:val="26"/>
        </w:rPr>
        <w:t xml:space="preserve">Il </w:t>
      </w:r>
      <w:r w:rsidRPr="00BF0322">
        <w:rPr>
          <w:b/>
          <w:bCs/>
          <w:sz w:val="26"/>
          <w:szCs w:val="26"/>
        </w:rPr>
        <w:t>petrolio</w:t>
      </w:r>
      <w:r w:rsidRPr="00BF0322">
        <w:rPr>
          <w:sz w:val="26"/>
          <w:szCs w:val="26"/>
        </w:rPr>
        <w:t xml:space="preserve"> </w:t>
      </w:r>
      <w:r w:rsidR="00120E51">
        <w:rPr>
          <w:sz w:val="26"/>
          <w:szCs w:val="26"/>
        </w:rPr>
        <w:t>in</w:t>
      </w:r>
      <w:r w:rsidRPr="00BF0322">
        <w:rPr>
          <w:sz w:val="26"/>
          <w:szCs w:val="26"/>
        </w:rPr>
        <w:t xml:space="preserve"> progresso dell’1,7%</w:t>
      </w:r>
      <w:r>
        <w:rPr>
          <w:sz w:val="26"/>
          <w:szCs w:val="26"/>
        </w:rPr>
        <w:t xml:space="preserve"> si conferma per il secondo anno consecutivo prima fonte di energia con un peso di circa il 39%, lo stesso del 2011 prima di essere scalzato dal </w:t>
      </w:r>
      <w:r w:rsidRPr="00963A27">
        <w:rPr>
          <w:b/>
          <w:bCs/>
          <w:sz w:val="26"/>
          <w:szCs w:val="26"/>
        </w:rPr>
        <w:t>gas naturale</w:t>
      </w:r>
      <w:r w:rsidR="009720C3">
        <w:rPr>
          <w:sz w:val="26"/>
          <w:szCs w:val="26"/>
        </w:rPr>
        <w:t xml:space="preserve"> che nel 2024 è sceso sotto la soglia del 35%</w:t>
      </w:r>
      <w:r>
        <w:rPr>
          <w:sz w:val="26"/>
          <w:szCs w:val="26"/>
        </w:rPr>
        <w:t>.</w:t>
      </w:r>
    </w:p>
    <w:p w14:paraId="7E3A73F0" w14:textId="2680D634" w:rsidR="00BF0322" w:rsidRDefault="00BF0322" w:rsidP="008655C7">
      <w:pPr>
        <w:ind w:left="567" w:right="1133"/>
        <w:jc w:val="center"/>
        <w:rPr>
          <w:sz w:val="26"/>
          <w:szCs w:val="26"/>
        </w:rPr>
      </w:pPr>
      <w:r>
        <w:rPr>
          <w:sz w:val="26"/>
          <w:szCs w:val="26"/>
        </w:rPr>
        <w:t>Progresso del 1</w:t>
      </w:r>
      <w:r w:rsidR="00F748B9">
        <w:rPr>
          <w:sz w:val="26"/>
          <w:szCs w:val="26"/>
        </w:rPr>
        <w:t>2</w:t>
      </w:r>
      <w:r>
        <w:rPr>
          <w:sz w:val="26"/>
          <w:szCs w:val="26"/>
        </w:rPr>
        <w:t xml:space="preserve">% per le </w:t>
      </w:r>
      <w:r w:rsidRPr="009720C3">
        <w:rPr>
          <w:b/>
          <w:bCs/>
          <w:sz w:val="26"/>
          <w:szCs w:val="26"/>
        </w:rPr>
        <w:t>rinnovabili</w:t>
      </w:r>
      <w:r w:rsidR="00963A27" w:rsidRPr="00963A27">
        <w:rPr>
          <w:sz w:val="26"/>
          <w:szCs w:val="26"/>
        </w:rPr>
        <w:t>, che includono i biocarburanti,</w:t>
      </w:r>
      <w:r w:rsidR="00963A27">
        <w:rPr>
          <w:b/>
          <w:bCs/>
          <w:sz w:val="26"/>
          <w:szCs w:val="26"/>
        </w:rPr>
        <w:t xml:space="preserve"> </w:t>
      </w:r>
      <w:r w:rsidR="009720C3" w:rsidRPr="009720C3">
        <w:rPr>
          <w:sz w:val="26"/>
          <w:szCs w:val="26"/>
        </w:rPr>
        <w:t>grazie alla ripresa dell’idroelettrico (+</w:t>
      </w:r>
      <w:r w:rsidR="000E5629">
        <w:rPr>
          <w:sz w:val="26"/>
          <w:szCs w:val="26"/>
        </w:rPr>
        <w:t>3</w:t>
      </w:r>
      <w:r w:rsidR="009720C3" w:rsidRPr="009720C3">
        <w:rPr>
          <w:sz w:val="26"/>
          <w:szCs w:val="26"/>
        </w:rPr>
        <w:t>5%)</w:t>
      </w:r>
      <w:r w:rsidR="009720C3">
        <w:rPr>
          <w:sz w:val="26"/>
          <w:szCs w:val="26"/>
        </w:rPr>
        <w:t xml:space="preserve"> e del fotovoltaico (+</w:t>
      </w:r>
      <w:r w:rsidR="000E5629">
        <w:rPr>
          <w:sz w:val="26"/>
          <w:szCs w:val="26"/>
        </w:rPr>
        <w:t>31</w:t>
      </w:r>
      <w:r w:rsidR="009720C3">
        <w:rPr>
          <w:sz w:val="26"/>
          <w:szCs w:val="26"/>
        </w:rPr>
        <w:t xml:space="preserve">%). </w:t>
      </w:r>
    </w:p>
    <w:p w14:paraId="34B891D4" w14:textId="7FE52E20" w:rsidR="009720C3" w:rsidRDefault="009720C3" w:rsidP="008655C7">
      <w:pPr>
        <w:ind w:left="567" w:right="1133"/>
        <w:jc w:val="center"/>
        <w:rPr>
          <w:sz w:val="26"/>
          <w:szCs w:val="26"/>
        </w:rPr>
      </w:pPr>
      <w:r w:rsidRPr="009720C3">
        <w:rPr>
          <w:sz w:val="26"/>
          <w:szCs w:val="26"/>
        </w:rPr>
        <w:t>Il</w:t>
      </w:r>
      <w:r>
        <w:rPr>
          <w:b/>
          <w:bCs/>
          <w:sz w:val="26"/>
          <w:szCs w:val="26"/>
        </w:rPr>
        <w:t xml:space="preserve"> c</w:t>
      </w:r>
      <w:r w:rsidRPr="009720C3">
        <w:rPr>
          <w:b/>
          <w:bCs/>
          <w:sz w:val="26"/>
          <w:szCs w:val="26"/>
        </w:rPr>
        <w:t>arbone</w:t>
      </w:r>
      <w:r>
        <w:rPr>
          <w:sz w:val="26"/>
          <w:szCs w:val="26"/>
        </w:rPr>
        <w:t xml:space="preserve"> con un meno 6</w:t>
      </w:r>
      <w:r w:rsidR="000E5629">
        <w:rPr>
          <w:sz w:val="26"/>
          <w:szCs w:val="26"/>
        </w:rPr>
        <w:t>3</w:t>
      </w:r>
      <w:r>
        <w:rPr>
          <w:sz w:val="26"/>
          <w:szCs w:val="26"/>
        </w:rPr>
        <w:t>% tocca il suo minimo storico, con un peso nella generazione di energia elettrica sces</w:t>
      </w:r>
      <w:r w:rsidR="00120E51">
        <w:rPr>
          <w:sz w:val="26"/>
          <w:szCs w:val="26"/>
        </w:rPr>
        <w:t>o</w:t>
      </w:r>
      <w:r>
        <w:rPr>
          <w:sz w:val="26"/>
          <w:szCs w:val="26"/>
        </w:rPr>
        <w:t xml:space="preserve"> all’1% dal 5% del 2023.</w:t>
      </w:r>
    </w:p>
    <w:p w14:paraId="47413F13" w14:textId="2508B2DE" w:rsidR="00BF0322" w:rsidRDefault="009720C3" w:rsidP="008655C7">
      <w:pPr>
        <w:ind w:left="567" w:right="1133"/>
        <w:jc w:val="center"/>
        <w:rPr>
          <w:sz w:val="26"/>
          <w:szCs w:val="26"/>
        </w:rPr>
      </w:pPr>
      <w:r>
        <w:rPr>
          <w:sz w:val="26"/>
          <w:szCs w:val="26"/>
        </w:rPr>
        <w:t xml:space="preserve">Nel periodo </w:t>
      </w:r>
      <w:r w:rsidRPr="00120E51">
        <w:rPr>
          <w:b/>
          <w:bCs/>
          <w:sz w:val="26"/>
          <w:szCs w:val="26"/>
        </w:rPr>
        <w:t xml:space="preserve">2019-2024 </w:t>
      </w:r>
      <w:r w:rsidR="00BF0322" w:rsidRPr="00120E51">
        <w:rPr>
          <w:b/>
          <w:bCs/>
          <w:sz w:val="26"/>
          <w:szCs w:val="26"/>
        </w:rPr>
        <w:t>le e</w:t>
      </w:r>
      <w:r w:rsidR="00BF0322" w:rsidRPr="00BF0322">
        <w:rPr>
          <w:b/>
          <w:bCs/>
          <w:sz w:val="26"/>
          <w:szCs w:val="26"/>
        </w:rPr>
        <w:t>missioni di CO</w:t>
      </w:r>
      <w:r w:rsidR="00BF0322" w:rsidRPr="00BF0322">
        <w:rPr>
          <w:b/>
          <w:bCs/>
          <w:sz w:val="26"/>
          <w:szCs w:val="26"/>
          <w:vertAlign w:val="subscript"/>
        </w:rPr>
        <w:t>2</w:t>
      </w:r>
      <w:r w:rsidR="00BF0322">
        <w:rPr>
          <w:sz w:val="26"/>
          <w:szCs w:val="26"/>
        </w:rPr>
        <w:t xml:space="preserve"> collegate </w:t>
      </w:r>
      <w:r>
        <w:rPr>
          <w:sz w:val="26"/>
          <w:szCs w:val="26"/>
        </w:rPr>
        <w:t>alla domanda di energia sono</w:t>
      </w:r>
      <w:r w:rsidR="00BF0322">
        <w:rPr>
          <w:sz w:val="26"/>
          <w:szCs w:val="26"/>
        </w:rPr>
        <w:t xml:space="preserve"> diminuite del 15%</w:t>
      </w:r>
      <w:r w:rsidR="00D374DE">
        <w:rPr>
          <w:sz w:val="26"/>
          <w:szCs w:val="26"/>
        </w:rPr>
        <w:t>,</w:t>
      </w:r>
      <w:r w:rsidR="00864AFC">
        <w:rPr>
          <w:sz w:val="26"/>
          <w:szCs w:val="26"/>
        </w:rPr>
        <w:t xml:space="preserve"> a fronte </w:t>
      </w:r>
      <w:r w:rsidR="001F758A">
        <w:rPr>
          <w:sz w:val="26"/>
          <w:szCs w:val="26"/>
        </w:rPr>
        <w:t>di una</w:t>
      </w:r>
      <w:r w:rsidR="00864AFC">
        <w:rPr>
          <w:sz w:val="26"/>
          <w:szCs w:val="26"/>
        </w:rPr>
        <w:t xml:space="preserve"> riduzione </w:t>
      </w:r>
      <w:r w:rsidR="001F758A">
        <w:rPr>
          <w:sz w:val="26"/>
          <w:szCs w:val="26"/>
        </w:rPr>
        <w:t>della</w:t>
      </w:r>
      <w:r w:rsidR="00864AFC">
        <w:rPr>
          <w:sz w:val="26"/>
          <w:szCs w:val="26"/>
        </w:rPr>
        <w:t xml:space="preserve"> domanda energetica dell’8</w:t>
      </w:r>
      <w:r w:rsidR="00516E12">
        <w:rPr>
          <w:sz w:val="26"/>
          <w:szCs w:val="26"/>
        </w:rPr>
        <w:t>,</w:t>
      </w:r>
      <w:r w:rsidR="00F748B9">
        <w:rPr>
          <w:sz w:val="26"/>
          <w:szCs w:val="26"/>
        </w:rPr>
        <w:t>7</w:t>
      </w:r>
      <w:r w:rsidR="00864AFC">
        <w:rPr>
          <w:sz w:val="26"/>
          <w:szCs w:val="26"/>
        </w:rPr>
        <w:t>%</w:t>
      </w:r>
      <w:r w:rsidR="00BF0322">
        <w:rPr>
          <w:sz w:val="26"/>
          <w:szCs w:val="26"/>
        </w:rPr>
        <w:t>.</w:t>
      </w:r>
    </w:p>
    <w:p w14:paraId="486829BE" w14:textId="4CBA68AD" w:rsidR="009720C3" w:rsidRDefault="009720C3" w:rsidP="008655C7">
      <w:pPr>
        <w:ind w:left="567" w:right="1133"/>
        <w:jc w:val="center"/>
        <w:rPr>
          <w:sz w:val="26"/>
          <w:szCs w:val="26"/>
        </w:rPr>
      </w:pPr>
      <w:r>
        <w:rPr>
          <w:sz w:val="26"/>
          <w:szCs w:val="26"/>
        </w:rPr>
        <w:t xml:space="preserve">Crescono i </w:t>
      </w:r>
      <w:r w:rsidRPr="009720C3">
        <w:rPr>
          <w:b/>
          <w:bCs/>
          <w:sz w:val="26"/>
          <w:szCs w:val="26"/>
        </w:rPr>
        <w:t>consumi petroliferi</w:t>
      </w:r>
      <w:r>
        <w:rPr>
          <w:sz w:val="26"/>
          <w:szCs w:val="26"/>
        </w:rPr>
        <w:t xml:space="preserve"> (+1,7%), trainati dai prodotti per la mobilità che hanno rappresentato il 72% delle vendite totali.</w:t>
      </w:r>
    </w:p>
    <w:p w14:paraId="1AAE8A4C" w14:textId="1D3BA998" w:rsidR="009720C3" w:rsidRDefault="009720C3" w:rsidP="008655C7">
      <w:pPr>
        <w:ind w:left="567" w:right="1133"/>
        <w:jc w:val="center"/>
        <w:rPr>
          <w:sz w:val="26"/>
          <w:szCs w:val="26"/>
        </w:rPr>
      </w:pPr>
      <w:r>
        <w:rPr>
          <w:sz w:val="26"/>
          <w:szCs w:val="26"/>
        </w:rPr>
        <w:t xml:space="preserve">I soli </w:t>
      </w:r>
      <w:r w:rsidRPr="009720C3">
        <w:rPr>
          <w:b/>
          <w:bCs/>
          <w:sz w:val="26"/>
          <w:szCs w:val="26"/>
        </w:rPr>
        <w:t xml:space="preserve">carburanti </w:t>
      </w:r>
      <w:r w:rsidR="001373C9">
        <w:rPr>
          <w:b/>
          <w:bCs/>
          <w:sz w:val="26"/>
          <w:szCs w:val="26"/>
        </w:rPr>
        <w:t>per i trasporti</w:t>
      </w:r>
      <w:r>
        <w:rPr>
          <w:sz w:val="26"/>
          <w:szCs w:val="26"/>
        </w:rPr>
        <w:t xml:space="preserve"> </w:t>
      </w:r>
      <w:r w:rsidR="00991FCC">
        <w:rPr>
          <w:sz w:val="26"/>
          <w:szCs w:val="26"/>
        </w:rPr>
        <w:t>(benzina, gasolio, gpl</w:t>
      </w:r>
      <w:r w:rsidR="00864AFC">
        <w:rPr>
          <w:sz w:val="26"/>
          <w:szCs w:val="26"/>
        </w:rPr>
        <w:t>, jet</w:t>
      </w:r>
      <w:r w:rsidR="00516E12">
        <w:rPr>
          <w:sz w:val="26"/>
          <w:szCs w:val="26"/>
        </w:rPr>
        <w:t xml:space="preserve"> fuel</w:t>
      </w:r>
      <w:r w:rsidR="001373C9">
        <w:rPr>
          <w:sz w:val="26"/>
          <w:szCs w:val="26"/>
        </w:rPr>
        <w:t xml:space="preserve"> e bunker</w:t>
      </w:r>
      <w:r w:rsidR="00991FCC">
        <w:rPr>
          <w:sz w:val="26"/>
          <w:szCs w:val="26"/>
        </w:rPr>
        <w:t>)</w:t>
      </w:r>
      <w:r>
        <w:rPr>
          <w:sz w:val="26"/>
          <w:szCs w:val="26"/>
        </w:rPr>
        <w:t xml:space="preserve"> crescono del </w:t>
      </w:r>
      <w:r w:rsidR="00864AFC">
        <w:rPr>
          <w:sz w:val="26"/>
          <w:szCs w:val="26"/>
        </w:rPr>
        <w:t>3</w:t>
      </w:r>
      <w:r w:rsidR="00516E12">
        <w:rPr>
          <w:sz w:val="26"/>
          <w:szCs w:val="26"/>
        </w:rPr>
        <w:t>,</w:t>
      </w:r>
      <w:r w:rsidR="00864AFC">
        <w:rPr>
          <w:sz w:val="26"/>
          <w:szCs w:val="26"/>
        </w:rPr>
        <w:t>7%</w:t>
      </w:r>
      <w:r w:rsidR="001373C9">
        <w:rPr>
          <w:sz w:val="26"/>
          <w:szCs w:val="26"/>
        </w:rPr>
        <w:t xml:space="preserve"> </w:t>
      </w:r>
      <w:r>
        <w:rPr>
          <w:sz w:val="26"/>
          <w:szCs w:val="26"/>
        </w:rPr>
        <w:t>per</w:t>
      </w:r>
      <w:r w:rsidR="00991FCC">
        <w:rPr>
          <w:sz w:val="26"/>
          <w:szCs w:val="26"/>
        </w:rPr>
        <w:t xml:space="preserve"> effetto del</w:t>
      </w:r>
      <w:r>
        <w:rPr>
          <w:sz w:val="26"/>
          <w:szCs w:val="26"/>
        </w:rPr>
        <w:t>l’aumento de</w:t>
      </w:r>
      <w:r w:rsidR="00864AFC">
        <w:rPr>
          <w:sz w:val="26"/>
          <w:szCs w:val="26"/>
        </w:rPr>
        <w:t xml:space="preserve">lla </w:t>
      </w:r>
      <w:r w:rsidR="006D45E3">
        <w:rPr>
          <w:sz w:val="26"/>
          <w:szCs w:val="26"/>
        </w:rPr>
        <w:t xml:space="preserve">domanda di </w:t>
      </w:r>
      <w:r w:rsidR="00864AFC">
        <w:rPr>
          <w:sz w:val="26"/>
          <w:szCs w:val="26"/>
        </w:rPr>
        <w:t>mobilit</w:t>
      </w:r>
      <w:r w:rsidR="00516E12">
        <w:rPr>
          <w:sz w:val="26"/>
          <w:szCs w:val="26"/>
        </w:rPr>
        <w:t>à.</w:t>
      </w:r>
    </w:p>
    <w:p w14:paraId="7AFF38E1" w14:textId="68A3EACC" w:rsidR="00991FCC" w:rsidRDefault="00991FCC" w:rsidP="008655C7">
      <w:pPr>
        <w:ind w:left="567" w:right="1133"/>
        <w:jc w:val="center"/>
        <w:rPr>
          <w:sz w:val="26"/>
          <w:szCs w:val="26"/>
        </w:rPr>
      </w:pPr>
      <w:r w:rsidRPr="00991FCC">
        <w:rPr>
          <w:b/>
          <w:bCs/>
          <w:sz w:val="26"/>
          <w:szCs w:val="26"/>
        </w:rPr>
        <w:t>L’Italia è stata l’unica tra i principali Paesi europei</w:t>
      </w:r>
      <w:r>
        <w:rPr>
          <w:sz w:val="26"/>
          <w:szCs w:val="26"/>
        </w:rPr>
        <w:t xml:space="preserve"> ad evidenziare un aumento nelle vendite dei carburanti sia rispetto al 2019 che al 2023.</w:t>
      </w:r>
    </w:p>
    <w:p w14:paraId="69193C65" w14:textId="16DB31DE" w:rsidR="00B975D7" w:rsidRDefault="000E5629" w:rsidP="008655C7">
      <w:pPr>
        <w:ind w:left="567" w:right="1133"/>
        <w:jc w:val="center"/>
        <w:rPr>
          <w:sz w:val="26"/>
          <w:szCs w:val="26"/>
        </w:rPr>
      </w:pPr>
      <w:r>
        <w:rPr>
          <w:sz w:val="26"/>
          <w:szCs w:val="26"/>
        </w:rPr>
        <w:t>In conseguenza del</w:t>
      </w:r>
      <w:r w:rsidR="00FB07C2" w:rsidRPr="00FB07C2">
        <w:rPr>
          <w:sz w:val="26"/>
          <w:szCs w:val="26"/>
        </w:rPr>
        <w:t xml:space="preserve"> calo delle </w:t>
      </w:r>
      <w:r w:rsidR="00FB07C2" w:rsidRPr="00FB07C2">
        <w:rPr>
          <w:b/>
          <w:bCs/>
          <w:sz w:val="26"/>
          <w:szCs w:val="26"/>
        </w:rPr>
        <w:t>lavorazioni delle raffinerie</w:t>
      </w:r>
      <w:r w:rsidR="00FB07C2" w:rsidRPr="00FB07C2">
        <w:rPr>
          <w:sz w:val="26"/>
          <w:szCs w:val="26"/>
        </w:rPr>
        <w:t xml:space="preserve"> </w:t>
      </w:r>
      <w:r w:rsidR="00FB07C2">
        <w:rPr>
          <w:sz w:val="26"/>
          <w:szCs w:val="26"/>
        </w:rPr>
        <w:t xml:space="preserve">(-4,1%) </w:t>
      </w:r>
      <w:r w:rsidR="00C65917">
        <w:rPr>
          <w:sz w:val="26"/>
          <w:szCs w:val="26"/>
        </w:rPr>
        <w:t>sono scese le</w:t>
      </w:r>
      <w:r w:rsidR="00FB07C2">
        <w:rPr>
          <w:sz w:val="26"/>
          <w:szCs w:val="26"/>
        </w:rPr>
        <w:t xml:space="preserve"> </w:t>
      </w:r>
      <w:r w:rsidR="00FB07C2" w:rsidRPr="00120E51">
        <w:rPr>
          <w:b/>
          <w:bCs/>
          <w:sz w:val="26"/>
          <w:szCs w:val="26"/>
        </w:rPr>
        <w:t>importazioni</w:t>
      </w:r>
      <w:r w:rsidR="00FB07C2">
        <w:rPr>
          <w:sz w:val="26"/>
          <w:szCs w:val="26"/>
        </w:rPr>
        <w:t xml:space="preserve"> di greggi</w:t>
      </w:r>
      <w:r w:rsidR="008F1569">
        <w:rPr>
          <w:sz w:val="26"/>
          <w:szCs w:val="26"/>
        </w:rPr>
        <w:t xml:space="preserve">, con un </w:t>
      </w:r>
      <w:r w:rsidR="00FB07C2">
        <w:rPr>
          <w:sz w:val="26"/>
          <w:szCs w:val="26"/>
        </w:rPr>
        <w:t>accresciuto peso dell’Africa.</w:t>
      </w:r>
    </w:p>
    <w:p w14:paraId="1C2B6B73" w14:textId="48C5E5EE" w:rsidR="00A22D20" w:rsidRDefault="00A22D20" w:rsidP="008655C7">
      <w:pPr>
        <w:ind w:left="567" w:right="1133"/>
        <w:jc w:val="center"/>
        <w:rPr>
          <w:sz w:val="26"/>
          <w:szCs w:val="26"/>
        </w:rPr>
      </w:pPr>
      <w:r w:rsidRPr="00301792">
        <w:rPr>
          <w:sz w:val="26"/>
          <w:szCs w:val="26"/>
        </w:rPr>
        <w:t xml:space="preserve">In calo del 19% le importazioni di </w:t>
      </w:r>
      <w:r w:rsidRPr="00301792">
        <w:rPr>
          <w:b/>
          <w:bCs/>
          <w:sz w:val="26"/>
          <w:szCs w:val="26"/>
        </w:rPr>
        <w:t>biocarburanti</w:t>
      </w:r>
      <w:r w:rsidRPr="00301792">
        <w:rPr>
          <w:sz w:val="26"/>
          <w:szCs w:val="26"/>
        </w:rPr>
        <w:t xml:space="preserve"> a fronte di un aumento del 15% nella produzione.</w:t>
      </w:r>
    </w:p>
    <w:p w14:paraId="505E0102" w14:textId="713CA36C" w:rsidR="00FB07C2" w:rsidRDefault="002211C5" w:rsidP="008655C7">
      <w:pPr>
        <w:ind w:left="567" w:right="1133"/>
        <w:jc w:val="center"/>
        <w:rPr>
          <w:sz w:val="26"/>
          <w:szCs w:val="26"/>
        </w:rPr>
      </w:pPr>
      <w:r>
        <w:rPr>
          <w:sz w:val="26"/>
          <w:szCs w:val="26"/>
        </w:rPr>
        <w:t>I</w:t>
      </w:r>
      <w:r w:rsidR="00FB07C2" w:rsidRPr="00FB07C2">
        <w:rPr>
          <w:b/>
          <w:bCs/>
          <w:sz w:val="26"/>
          <w:szCs w:val="26"/>
        </w:rPr>
        <w:t xml:space="preserve"> prezzi dei carburanti</w:t>
      </w:r>
      <w:r w:rsidR="00FB07C2">
        <w:rPr>
          <w:sz w:val="26"/>
          <w:szCs w:val="26"/>
        </w:rPr>
        <w:t xml:space="preserve"> alla pompa ad ottobre hanno toccato i minimi </w:t>
      </w:r>
      <w:r w:rsidR="00733802">
        <w:rPr>
          <w:sz w:val="26"/>
          <w:szCs w:val="26"/>
        </w:rPr>
        <w:t>degli ultimi 24 mesi,</w:t>
      </w:r>
      <w:r w:rsidR="00FB07C2">
        <w:rPr>
          <w:sz w:val="26"/>
          <w:szCs w:val="26"/>
        </w:rPr>
        <w:t xml:space="preserve"> consentendo nel 2024 un risparmio per gli automobilisti di circa 2,7 miliardi di euro</w:t>
      </w:r>
      <w:r w:rsidR="00864AFC">
        <w:rPr>
          <w:sz w:val="26"/>
          <w:szCs w:val="26"/>
        </w:rPr>
        <w:t xml:space="preserve"> verso l’anno passato</w:t>
      </w:r>
      <w:r w:rsidR="00FB07C2">
        <w:rPr>
          <w:sz w:val="26"/>
          <w:szCs w:val="26"/>
        </w:rPr>
        <w:t xml:space="preserve">, cioè </w:t>
      </w:r>
      <w:r w:rsidR="00FB07C2" w:rsidRPr="008655C7">
        <w:rPr>
          <w:b/>
          <w:bCs/>
          <w:sz w:val="26"/>
          <w:szCs w:val="26"/>
        </w:rPr>
        <w:t>103 euro a famiglia</w:t>
      </w:r>
      <w:r w:rsidR="00FB07C2">
        <w:rPr>
          <w:sz w:val="26"/>
          <w:szCs w:val="26"/>
        </w:rPr>
        <w:t>.</w:t>
      </w:r>
    </w:p>
    <w:p w14:paraId="301653B4" w14:textId="45061695" w:rsidR="00FB07C2" w:rsidRDefault="00120E51" w:rsidP="008655C7">
      <w:pPr>
        <w:ind w:left="567" w:right="1133"/>
        <w:jc w:val="center"/>
        <w:rPr>
          <w:sz w:val="26"/>
          <w:szCs w:val="26"/>
        </w:rPr>
      </w:pPr>
      <w:r w:rsidRPr="00120E51">
        <w:rPr>
          <w:sz w:val="26"/>
          <w:szCs w:val="26"/>
        </w:rPr>
        <w:t>La</w:t>
      </w:r>
      <w:r>
        <w:rPr>
          <w:b/>
          <w:bCs/>
          <w:sz w:val="26"/>
          <w:szCs w:val="26"/>
        </w:rPr>
        <w:t xml:space="preserve"> f</w:t>
      </w:r>
      <w:r w:rsidR="00FB07C2" w:rsidRPr="008655C7">
        <w:rPr>
          <w:b/>
          <w:bCs/>
          <w:sz w:val="26"/>
          <w:szCs w:val="26"/>
        </w:rPr>
        <w:t>attura energetica</w:t>
      </w:r>
      <w:r w:rsidR="00FB07C2">
        <w:rPr>
          <w:sz w:val="26"/>
          <w:szCs w:val="26"/>
        </w:rPr>
        <w:t xml:space="preserve"> diminui</w:t>
      </w:r>
      <w:r w:rsidR="008655C7">
        <w:rPr>
          <w:sz w:val="26"/>
          <w:szCs w:val="26"/>
        </w:rPr>
        <w:t>sce</w:t>
      </w:r>
      <w:r w:rsidR="00FB07C2">
        <w:rPr>
          <w:sz w:val="26"/>
          <w:szCs w:val="26"/>
        </w:rPr>
        <w:t xml:space="preserve"> di 18,6 miliardi di euro (-28%) rispetto al 2023, mentre quella </w:t>
      </w:r>
      <w:r w:rsidR="00FB07C2" w:rsidRPr="008655C7">
        <w:rPr>
          <w:b/>
          <w:bCs/>
          <w:sz w:val="26"/>
          <w:szCs w:val="26"/>
        </w:rPr>
        <w:t>petrolifera</w:t>
      </w:r>
      <w:r w:rsidR="00FB07C2">
        <w:rPr>
          <w:sz w:val="26"/>
          <w:szCs w:val="26"/>
        </w:rPr>
        <w:t xml:space="preserve"> di 7,6 miliardi (-26%). </w:t>
      </w:r>
    </w:p>
    <w:p w14:paraId="4DDCE961" w14:textId="77777777" w:rsidR="003F5715" w:rsidRDefault="00FB07C2" w:rsidP="003F5715">
      <w:pPr>
        <w:ind w:left="567" w:right="1133"/>
        <w:jc w:val="center"/>
        <w:rPr>
          <w:sz w:val="26"/>
          <w:szCs w:val="26"/>
        </w:rPr>
      </w:pPr>
      <w:r>
        <w:rPr>
          <w:sz w:val="26"/>
          <w:szCs w:val="26"/>
        </w:rPr>
        <w:t xml:space="preserve">Cresce il </w:t>
      </w:r>
      <w:r w:rsidRPr="00FB07C2">
        <w:rPr>
          <w:b/>
          <w:bCs/>
          <w:sz w:val="26"/>
          <w:szCs w:val="26"/>
        </w:rPr>
        <w:t>gettito fiscale</w:t>
      </w:r>
      <w:r>
        <w:rPr>
          <w:sz w:val="26"/>
          <w:szCs w:val="26"/>
        </w:rPr>
        <w:t xml:space="preserve"> derivante dalle </w:t>
      </w:r>
      <w:r w:rsidRPr="00120E51">
        <w:rPr>
          <w:b/>
          <w:bCs/>
          <w:sz w:val="26"/>
          <w:szCs w:val="26"/>
        </w:rPr>
        <w:t>accise</w:t>
      </w:r>
      <w:r>
        <w:rPr>
          <w:sz w:val="26"/>
          <w:szCs w:val="26"/>
        </w:rPr>
        <w:t xml:space="preserve"> (+700 milioni di euro) per l’aumento dei volumi, ma cala quello dell’</w:t>
      </w:r>
      <w:r w:rsidRPr="00120E51">
        <w:rPr>
          <w:b/>
          <w:bCs/>
          <w:sz w:val="26"/>
          <w:szCs w:val="26"/>
        </w:rPr>
        <w:t>Iva</w:t>
      </w:r>
      <w:r>
        <w:rPr>
          <w:sz w:val="26"/>
          <w:szCs w:val="26"/>
        </w:rPr>
        <w:t xml:space="preserve"> (-300 milioni di euro) per la riduzione dei prezzi.</w:t>
      </w:r>
    </w:p>
    <w:p w14:paraId="5B08D110" w14:textId="757EFD54" w:rsidR="00AE1856" w:rsidRPr="00733802" w:rsidRDefault="00AE1856" w:rsidP="00733802">
      <w:pPr>
        <w:ind w:right="1133"/>
        <w:jc w:val="center"/>
        <w:rPr>
          <w:b/>
          <w:bCs/>
          <w:color w:val="0070C0"/>
          <w:sz w:val="28"/>
          <w:szCs w:val="28"/>
        </w:rPr>
      </w:pPr>
      <w:r w:rsidRPr="00733802">
        <w:rPr>
          <w:b/>
          <w:bCs/>
          <w:color w:val="0070C0"/>
          <w:sz w:val="28"/>
          <w:szCs w:val="28"/>
        </w:rPr>
        <w:lastRenderedPageBreak/>
        <w:t>SCENARIO NAZIONALE</w:t>
      </w:r>
    </w:p>
    <w:p w14:paraId="50C76660" w14:textId="45F88B9C" w:rsidR="00213610" w:rsidRDefault="001A5600" w:rsidP="00301792">
      <w:pPr>
        <w:ind w:right="1700"/>
        <w:jc w:val="both"/>
        <w:rPr>
          <w:sz w:val="26"/>
          <w:szCs w:val="26"/>
        </w:rPr>
      </w:pPr>
      <w:r>
        <w:rPr>
          <w:b/>
          <w:bCs/>
          <w:noProof/>
          <w:sz w:val="26"/>
          <w:szCs w:val="26"/>
        </w:rPr>
        <mc:AlternateContent>
          <mc:Choice Requires="wps">
            <w:drawing>
              <wp:anchor distT="0" distB="0" distL="114300" distR="114300" simplePos="0" relativeHeight="251752448" behindDoc="0" locked="0" layoutInCell="1" allowOverlap="1" wp14:anchorId="40945756" wp14:editId="571F88B3">
                <wp:simplePos x="0" y="0"/>
                <wp:positionH relativeFrom="column">
                  <wp:posOffset>5374640</wp:posOffset>
                </wp:positionH>
                <wp:positionV relativeFrom="paragraph">
                  <wp:posOffset>9525</wp:posOffset>
                </wp:positionV>
                <wp:extent cx="1017270" cy="309880"/>
                <wp:effectExtent l="0" t="0" r="11430" b="13970"/>
                <wp:wrapNone/>
                <wp:docPr id="1349843619"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5FC841" w14:textId="0D4986C2" w:rsidR="001A5600" w:rsidRPr="00301792" w:rsidRDefault="001A5600" w:rsidP="001A5600">
                            <w:pPr>
                              <w:jc w:val="center"/>
                              <w:rPr>
                                <w:b/>
                                <w:bCs/>
                                <w:sz w:val="28"/>
                                <w:szCs w:val="28"/>
                              </w:rPr>
                            </w:pPr>
                            <w:r w:rsidRPr="00301792">
                              <w:rPr>
                                <w:b/>
                                <w:bCs/>
                                <w:sz w:val="28"/>
                                <w:szCs w:val="28"/>
                              </w:rPr>
                              <w:t xml:space="preserve">Slide </w:t>
                            </w:r>
                            <w:r>
                              <w:rPr>
                                <w:b/>
                                <w:bCs/>
                                <w:sz w:val="28"/>
                                <w:szCs w:val="28"/>
                              </w:rPr>
                              <w:t>10</w:t>
                            </w:r>
                          </w:p>
                          <w:p w14:paraId="49925C73" w14:textId="77777777" w:rsidR="001A5600" w:rsidRPr="00301792" w:rsidRDefault="001A5600" w:rsidP="001A560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45756" id="_x0000_s1037" style="position:absolute;left:0;text-align:left;margin-left:423.2pt;margin-top:.75pt;width:80.1pt;height:2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" fillcolor="#0070c0" strokecolor="#0070c0" strokeweight="1pt">
                <v:textbox>
                  <w:txbxContent>
                    <w:p w14:paraId="645FC841" w14:textId="0D4986C2" w:rsidR="001A5600" w:rsidRPr="00301792" w:rsidRDefault="001A5600" w:rsidP="001A5600">
                      <w:pPr>
                        <w:jc w:val="center"/>
                        <w:rPr>
                          <w:b/>
                          <w:bCs/>
                          <w:sz w:val="28"/>
                          <w:szCs w:val="28"/>
                        </w:rPr>
                      </w:pPr>
                      <w:r w:rsidRPr="00301792">
                        <w:rPr>
                          <w:b/>
                          <w:bCs/>
                          <w:sz w:val="28"/>
                          <w:szCs w:val="28"/>
                        </w:rPr>
                        <w:t xml:space="preserve">Slide </w:t>
                      </w:r>
                      <w:r>
                        <w:rPr>
                          <w:b/>
                          <w:bCs/>
                          <w:sz w:val="28"/>
                          <w:szCs w:val="28"/>
                        </w:rPr>
                        <w:t>10</w:t>
                      </w:r>
                    </w:p>
                    <w:p w14:paraId="49925C73" w14:textId="77777777" w:rsidR="001A5600" w:rsidRPr="00301792" w:rsidRDefault="001A5600" w:rsidP="001A5600">
                      <w:pPr>
                        <w:jc w:val="center"/>
                        <w:rPr>
                          <w:b/>
                          <w:bCs/>
                          <w:sz w:val="28"/>
                          <w:szCs w:val="28"/>
                        </w:rPr>
                      </w:pPr>
                    </w:p>
                  </w:txbxContent>
                </v:textbox>
              </v:rect>
            </w:pict>
          </mc:Fallback>
        </mc:AlternateContent>
      </w:r>
      <w:r w:rsidR="00DA4F3D" w:rsidRPr="00301792">
        <w:rPr>
          <w:sz w:val="26"/>
          <w:szCs w:val="26"/>
        </w:rPr>
        <w:t xml:space="preserve">Nel 2024 la </w:t>
      </w:r>
      <w:r w:rsidR="00DA4F3D" w:rsidRPr="00301792">
        <w:rPr>
          <w:b/>
          <w:bCs/>
          <w:sz w:val="26"/>
          <w:szCs w:val="26"/>
        </w:rPr>
        <w:t>domanda di energ</w:t>
      </w:r>
      <w:r w:rsidR="0071710A" w:rsidRPr="00301792">
        <w:rPr>
          <w:b/>
          <w:bCs/>
          <w:sz w:val="26"/>
          <w:szCs w:val="26"/>
        </w:rPr>
        <w:t>ia</w:t>
      </w:r>
      <w:r w:rsidR="0071710A" w:rsidRPr="00301792">
        <w:rPr>
          <w:sz w:val="26"/>
          <w:szCs w:val="26"/>
        </w:rPr>
        <w:t xml:space="preserve"> italiana si stim</w:t>
      </w:r>
      <w:r w:rsidR="004549C0">
        <w:rPr>
          <w:sz w:val="26"/>
          <w:szCs w:val="26"/>
        </w:rPr>
        <w:t>a</w:t>
      </w:r>
      <w:r w:rsidR="0001061C" w:rsidRPr="00301792">
        <w:rPr>
          <w:sz w:val="26"/>
          <w:szCs w:val="26"/>
        </w:rPr>
        <w:t xml:space="preserve"> </w:t>
      </w:r>
      <w:r w:rsidR="004549C0">
        <w:rPr>
          <w:sz w:val="26"/>
          <w:szCs w:val="26"/>
        </w:rPr>
        <w:t>sullo stesso livello</w:t>
      </w:r>
      <w:r w:rsidR="00096AC1" w:rsidRPr="00301792">
        <w:rPr>
          <w:sz w:val="26"/>
          <w:szCs w:val="26"/>
        </w:rPr>
        <w:t xml:space="preserve"> del </w:t>
      </w:r>
      <w:r w:rsidR="0001061C" w:rsidRPr="00301792">
        <w:rPr>
          <w:sz w:val="26"/>
          <w:szCs w:val="26"/>
        </w:rPr>
        <w:t>2023</w:t>
      </w:r>
      <w:r w:rsidR="004549C0">
        <w:rPr>
          <w:sz w:val="26"/>
          <w:szCs w:val="26"/>
        </w:rPr>
        <w:t xml:space="preserve">, </w:t>
      </w:r>
      <w:r w:rsidR="00862876">
        <w:rPr>
          <w:sz w:val="26"/>
          <w:szCs w:val="26"/>
        </w:rPr>
        <w:t>intorno ai</w:t>
      </w:r>
      <w:r w:rsidR="004549C0" w:rsidRPr="00301792">
        <w:rPr>
          <w:sz w:val="26"/>
          <w:szCs w:val="26"/>
        </w:rPr>
        <w:t xml:space="preserve"> 144</w:t>
      </w:r>
      <w:r w:rsidR="008F1569">
        <w:rPr>
          <w:sz w:val="26"/>
          <w:szCs w:val="26"/>
        </w:rPr>
        <w:t>,3</w:t>
      </w:r>
      <w:r w:rsidR="004549C0" w:rsidRPr="00301792">
        <w:rPr>
          <w:sz w:val="26"/>
          <w:szCs w:val="26"/>
        </w:rPr>
        <w:t xml:space="preserve"> Mtep</w:t>
      </w:r>
      <w:r w:rsidR="0001061C" w:rsidRPr="00301792">
        <w:rPr>
          <w:sz w:val="26"/>
          <w:szCs w:val="26"/>
        </w:rPr>
        <w:t xml:space="preserve">, </w:t>
      </w:r>
      <w:r>
        <w:rPr>
          <w:sz w:val="26"/>
          <w:szCs w:val="26"/>
        </w:rPr>
        <w:t>ma</w:t>
      </w:r>
      <w:r w:rsidR="00096AC1" w:rsidRPr="00301792">
        <w:rPr>
          <w:sz w:val="26"/>
          <w:szCs w:val="26"/>
        </w:rPr>
        <w:t xml:space="preserve"> inferiore</w:t>
      </w:r>
      <w:r w:rsidR="0001061C" w:rsidRPr="00301792">
        <w:rPr>
          <w:sz w:val="26"/>
          <w:szCs w:val="26"/>
        </w:rPr>
        <w:t xml:space="preserve"> del</w:t>
      </w:r>
      <w:r w:rsidR="00C97FA7">
        <w:rPr>
          <w:sz w:val="26"/>
          <w:szCs w:val="26"/>
        </w:rPr>
        <w:t>l’8,</w:t>
      </w:r>
      <w:r w:rsidR="008F1569">
        <w:rPr>
          <w:sz w:val="26"/>
          <w:szCs w:val="26"/>
        </w:rPr>
        <w:t>7</w:t>
      </w:r>
      <w:r w:rsidR="0001061C" w:rsidRPr="00301792">
        <w:rPr>
          <w:sz w:val="26"/>
          <w:szCs w:val="26"/>
        </w:rPr>
        <w:t xml:space="preserve">% </w:t>
      </w:r>
      <w:r w:rsidR="004549C0">
        <w:rPr>
          <w:sz w:val="26"/>
          <w:szCs w:val="26"/>
        </w:rPr>
        <w:t>rispetto al</w:t>
      </w:r>
      <w:r w:rsidR="0001061C" w:rsidRPr="00301792">
        <w:rPr>
          <w:sz w:val="26"/>
          <w:szCs w:val="26"/>
        </w:rPr>
        <w:t xml:space="preserve"> 2019</w:t>
      </w:r>
      <w:r w:rsidR="00AD727F">
        <w:rPr>
          <w:sz w:val="26"/>
          <w:szCs w:val="26"/>
        </w:rPr>
        <w:t xml:space="preserve"> </w:t>
      </w:r>
      <w:r w:rsidR="00B4042B" w:rsidRPr="00301792">
        <w:rPr>
          <w:sz w:val="26"/>
          <w:szCs w:val="26"/>
        </w:rPr>
        <w:t>(-</w:t>
      </w:r>
      <w:r w:rsidR="000842FE">
        <w:rPr>
          <w:sz w:val="26"/>
          <w:szCs w:val="26"/>
        </w:rPr>
        <w:t>13,7</w:t>
      </w:r>
      <w:r w:rsidR="00B4042B" w:rsidRPr="00301792">
        <w:rPr>
          <w:sz w:val="26"/>
          <w:szCs w:val="26"/>
        </w:rPr>
        <w:t xml:space="preserve"> Mtep)</w:t>
      </w:r>
      <w:r w:rsidR="008F1BCE">
        <w:rPr>
          <w:sz w:val="26"/>
          <w:szCs w:val="26"/>
        </w:rPr>
        <w:t>,</w:t>
      </w:r>
      <w:r w:rsidR="00F500BD">
        <w:rPr>
          <w:sz w:val="26"/>
          <w:szCs w:val="26"/>
        </w:rPr>
        <w:t xml:space="preserve"> </w:t>
      </w:r>
      <w:r w:rsidR="002F4A60" w:rsidRPr="00301792">
        <w:rPr>
          <w:sz w:val="26"/>
          <w:szCs w:val="26"/>
        </w:rPr>
        <w:t>calo</w:t>
      </w:r>
      <w:r w:rsidR="00263A49" w:rsidRPr="00301792">
        <w:rPr>
          <w:sz w:val="26"/>
          <w:szCs w:val="26"/>
        </w:rPr>
        <w:t xml:space="preserve"> dovuto </w:t>
      </w:r>
      <w:r w:rsidR="002F30DC" w:rsidRPr="00301792">
        <w:rPr>
          <w:sz w:val="26"/>
          <w:szCs w:val="26"/>
        </w:rPr>
        <w:t xml:space="preserve">per oltre </w:t>
      </w:r>
      <w:r w:rsidR="004549C0">
        <w:rPr>
          <w:sz w:val="26"/>
          <w:szCs w:val="26"/>
        </w:rPr>
        <w:t>l’80</w:t>
      </w:r>
      <w:r w:rsidR="002F30DC" w:rsidRPr="00301792">
        <w:rPr>
          <w:sz w:val="26"/>
          <w:szCs w:val="26"/>
        </w:rPr>
        <w:t>%</w:t>
      </w:r>
      <w:r w:rsidR="00263A49" w:rsidRPr="00301792">
        <w:rPr>
          <w:sz w:val="26"/>
          <w:szCs w:val="26"/>
        </w:rPr>
        <w:t xml:space="preserve"> </w:t>
      </w:r>
      <w:r w:rsidR="00C3568A" w:rsidRPr="00301792">
        <w:rPr>
          <w:sz w:val="26"/>
          <w:szCs w:val="26"/>
        </w:rPr>
        <w:t>alla decisa flessione del gas</w:t>
      </w:r>
      <w:r w:rsidR="00862876">
        <w:rPr>
          <w:sz w:val="26"/>
          <w:szCs w:val="26"/>
        </w:rPr>
        <w:t xml:space="preserve"> (-</w:t>
      </w:r>
      <w:r w:rsidR="004549C0">
        <w:rPr>
          <w:sz w:val="26"/>
          <w:szCs w:val="26"/>
        </w:rPr>
        <w:t>11 Mtep</w:t>
      </w:r>
      <w:r w:rsidR="00862876">
        <w:rPr>
          <w:sz w:val="26"/>
          <w:szCs w:val="26"/>
        </w:rPr>
        <w:t>)</w:t>
      </w:r>
      <w:r w:rsidR="00F500BD">
        <w:rPr>
          <w:sz w:val="26"/>
          <w:szCs w:val="26"/>
        </w:rPr>
        <w:t>.</w:t>
      </w:r>
      <w:r w:rsidR="00AA3993">
        <w:rPr>
          <w:sz w:val="26"/>
          <w:szCs w:val="26"/>
        </w:rPr>
        <w:t xml:space="preserve"> </w:t>
      </w:r>
      <w:r w:rsidR="00F500BD" w:rsidRPr="00E74743">
        <w:rPr>
          <w:sz w:val="26"/>
          <w:szCs w:val="26"/>
        </w:rPr>
        <w:t>Nel periodo 2019-2024 le emissioni di CO</w:t>
      </w:r>
      <w:r w:rsidR="00F500BD" w:rsidRPr="00E74743">
        <w:rPr>
          <w:sz w:val="26"/>
          <w:szCs w:val="26"/>
          <w:vertAlign w:val="subscript"/>
        </w:rPr>
        <w:t>2</w:t>
      </w:r>
      <w:r w:rsidR="00F500BD" w:rsidRPr="00E74743">
        <w:rPr>
          <w:sz w:val="26"/>
          <w:szCs w:val="26"/>
        </w:rPr>
        <w:t xml:space="preserve"> collegate alla domanda di energia complessivamente si sono ridotte del 15%</w:t>
      </w:r>
      <w:r w:rsidR="00E74743">
        <w:rPr>
          <w:sz w:val="26"/>
          <w:szCs w:val="26"/>
        </w:rPr>
        <w:t>,</w:t>
      </w:r>
      <w:r w:rsidR="009860A6" w:rsidRPr="00E74743">
        <w:rPr>
          <w:sz w:val="26"/>
          <w:szCs w:val="26"/>
        </w:rPr>
        <w:t xml:space="preserve"> non solo per la crescita delle rinnovabili, ma anche per una maggiore efficienza energetica</w:t>
      </w:r>
      <w:r w:rsidR="00F500BD" w:rsidRPr="00E74743">
        <w:rPr>
          <w:sz w:val="26"/>
          <w:szCs w:val="26"/>
        </w:rPr>
        <w:t>.</w:t>
      </w:r>
    </w:p>
    <w:p w14:paraId="511DD3E2" w14:textId="7B143B81" w:rsidR="007A7492" w:rsidRDefault="004549C0" w:rsidP="00301792">
      <w:pPr>
        <w:ind w:right="1700"/>
        <w:jc w:val="both"/>
        <w:rPr>
          <w:sz w:val="26"/>
          <w:szCs w:val="26"/>
        </w:rPr>
      </w:pPr>
      <w:r>
        <w:rPr>
          <w:sz w:val="26"/>
          <w:szCs w:val="26"/>
        </w:rPr>
        <w:t>A fronte di consumi industriali in calo</w:t>
      </w:r>
      <w:r w:rsidR="006C7627">
        <w:rPr>
          <w:sz w:val="26"/>
          <w:szCs w:val="26"/>
        </w:rPr>
        <w:t xml:space="preserve"> per la</w:t>
      </w:r>
      <w:r>
        <w:rPr>
          <w:sz w:val="26"/>
          <w:szCs w:val="26"/>
        </w:rPr>
        <w:t xml:space="preserve"> flessione della produzione - particolarmente incisiva nell’</w:t>
      </w:r>
      <w:r w:rsidRPr="006B099D">
        <w:rPr>
          <w:i/>
          <w:iCs/>
          <w:sz w:val="26"/>
          <w:szCs w:val="26"/>
        </w:rPr>
        <w:t>automotive</w:t>
      </w:r>
      <w:r w:rsidR="00E9542B">
        <w:rPr>
          <w:i/>
          <w:iCs/>
          <w:sz w:val="26"/>
          <w:szCs w:val="26"/>
        </w:rPr>
        <w:t xml:space="preserve"> </w:t>
      </w:r>
      <w:r>
        <w:rPr>
          <w:i/>
          <w:iCs/>
          <w:sz w:val="26"/>
          <w:szCs w:val="26"/>
        </w:rPr>
        <w:t>-</w:t>
      </w:r>
      <w:r>
        <w:rPr>
          <w:sz w:val="26"/>
          <w:szCs w:val="26"/>
        </w:rPr>
        <w:t xml:space="preserve"> </w:t>
      </w:r>
      <w:r w:rsidR="006C7627">
        <w:rPr>
          <w:sz w:val="26"/>
          <w:szCs w:val="26"/>
        </w:rPr>
        <w:t>si riscontra un</w:t>
      </w:r>
      <w:r>
        <w:rPr>
          <w:sz w:val="26"/>
          <w:szCs w:val="26"/>
        </w:rPr>
        <w:t xml:space="preserve"> aument</w:t>
      </w:r>
      <w:r w:rsidR="006C7627">
        <w:rPr>
          <w:sz w:val="26"/>
          <w:szCs w:val="26"/>
        </w:rPr>
        <w:t>o dell</w:t>
      </w:r>
      <w:r>
        <w:rPr>
          <w:sz w:val="26"/>
          <w:szCs w:val="26"/>
        </w:rPr>
        <w:t xml:space="preserve">a domanda sia </w:t>
      </w:r>
      <w:r w:rsidR="006C7627">
        <w:rPr>
          <w:sz w:val="26"/>
          <w:szCs w:val="26"/>
        </w:rPr>
        <w:t>n</w:t>
      </w:r>
      <w:r>
        <w:rPr>
          <w:sz w:val="26"/>
          <w:szCs w:val="26"/>
        </w:rPr>
        <w:t xml:space="preserve">el settore dei trasporti che </w:t>
      </w:r>
      <w:r w:rsidR="006C7627">
        <w:rPr>
          <w:sz w:val="26"/>
          <w:szCs w:val="26"/>
        </w:rPr>
        <w:t>n</w:t>
      </w:r>
      <w:r>
        <w:rPr>
          <w:sz w:val="26"/>
          <w:szCs w:val="26"/>
        </w:rPr>
        <w:t>el civile, quest’ultimo influenzato dalle alte temperature estive che ha</w:t>
      </w:r>
      <w:r w:rsidR="006C7627">
        <w:rPr>
          <w:sz w:val="26"/>
          <w:szCs w:val="26"/>
        </w:rPr>
        <w:t>nno</w:t>
      </w:r>
      <w:r>
        <w:rPr>
          <w:sz w:val="26"/>
          <w:szCs w:val="26"/>
        </w:rPr>
        <w:t xml:space="preserve"> </w:t>
      </w:r>
      <w:r w:rsidR="00400CF1">
        <w:rPr>
          <w:sz w:val="26"/>
          <w:szCs w:val="26"/>
        </w:rPr>
        <w:t>spinto</w:t>
      </w:r>
      <w:r>
        <w:rPr>
          <w:sz w:val="26"/>
          <w:szCs w:val="26"/>
        </w:rPr>
        <w:t xml:space="preserve"> l’uso dei climatizzatori.</w:t>
      </w:r>
    </w:p>
    <w:p w14:paraId="5B6820F4" w14:textId="2E0BB57B" w:rsidR="00E6714A" w:rsidRPr="00301792" w:rsidRDefault="00D30474" w:rsidP="00301792">
      <w:pPr>
        <w:ind w:right="1700"/>
        <w:jc w:val="both"/>
        <w:rPr>
          <w:sz w:val="26"/>
          <w:szCs w:val="26"/>
        </w:rPr>
      </w:pPr>
      <w:r w:rsidRPr="00301792">
        <w:rPr>
          <w:sz w:val="26"/>
          <w:szCs w:val="26"/>
        </w:rPr>
        <w:t xml:space="preserve">Il </w:t>
      </w:r>
      <w:r w:rsidRPr="00301792">
        <w:rPr>
          <w:b/>
          <w:bCs/>
          <w:sz w:val="26"/>
          <w:szCs w:val="26"/>
        </w:rPr>
        <w:t>petroli</w:t>
      </w:r>
      <w:r w:rsidR="00F8775C" w:rsidRPr="00301792">
        <w:rPr>
          <w:b/>
          <w:bCs/>
          <w:sz w:val="26"/>
          <w:szCs w:val="26"/>
        </w:rPr>
        <w:t>o</w:t>
      </w:r>
      <w:r w:rsidR="00FF3CF8" w:rsidRPr="00301792">
        <w:rPr>
          <w:sz w:val="26"/>
          <w:szCs w:val="26"/>
        </w:rPr>
        <w:t xml:space="preserve">, </w:t>
      </w:r>
      <w:r w:rsidR="001D0A40" w:rsidRPr="00301792">
        <w:rPr>
          <w:sz w:val="26"/>
          <w:szCs w:val="26"/>
        </w:rPr>
        <w:t xml:space="preserve">che </w:t>
      </w:r>
      <w:r w:rsidR="00F8775C" w:rsidRPr="00301792">
        <w:rPr>
          <w:sz w:val="26"/>
          <w:szCs w:val="26"/>
        </w:rPr>
        <w:t>si conferma prima fonte di energia</w:t>
      </w:r>
      <w:r w:rsidR="00E6714A" w:rsidRPr="00301792">
        <w:rPr>
          <w:sz w:val="26"/>
          <w:szCs w:val="26"/>
        </w:rPr>
        <w:t xml:space="preserve"> con un</w:t>
      </w:r>
      <w:r w:rsidR="001D0A40" w:rsidRPr="00301792">
        <w:rPr>
          <w:sz w:val="26"/>
          <w:szCs w:val="26"/>
        </w:rPr>
        <w:t xml:space="preserve"> peso</w:t>
      </w:r>
      <w:r w:rsidR="00E6714A" w:rsidRPr="00301792">
        <w:rPr>
          <w:sz w:val="26"/>
          <w:szCs w:val="26"/>
        </w:rPr>
        <w:t xml:space="preserve"> </w:t>
      </w:r>
      <w:r w:rsidR="00FF3CF8" w:rsidRPr="00301792">
        <w:rPr>
          <w:sz w:val="26"/>
          <w:szCs w:val="26"/>
        </w:rPr>
        <w:t>di circa il 39%</w:t>
      </w:r>
      <w:r w:rsidR="001D0A40" w:rsidRPr="00301792">
        <w:rPr>
          <w:sz w:val="26"/>
          <w:szCs w:val="26"/>
        </w:rPr>
        <w:t xml:space="preserve">, mostra un progresso dell’1,7% </w:t>
      </w:r>
      <w:r w:rsidR="005A6133" w:rsidRPr="00301792">
        <w:rPr>
          <w:sz w:val="26"/>
          <w:szCs w:val="26"/>
        </w:rPr>
        <w:t>(+</w:t>
      </w:r>
      <w:r w:rsidR="00005A26" w:rsidRPr="00301792">
        <w:rPr>
          <w:sz w:val="26"/>
          <w:szCs w:val="26"/>
        </w:rPr>
        <w:t>0,9 Mtep)</w:t>
      </w:r>
      <w:r w:rsidR="00640477">
        <w:rPr>
          <w:sz w:val="26"/>
          <w:szCs w:val="26"/>
        </w:rPr>
        <w:t>,</w:t>
      </w:r>
      <w:r w:rsidR="00005A26" w:rsidRPr="00301792">
        <w:rPr>
          <w:sz w:val="26"/>
          <w:szCs w:val="26"/>
        </w:rPr>
        <w:t xml:space="preserve"> </w:t>
      </w:r>
      <w:r w:rsidR="001D0A40" w:rsidRPr="00301792">
        <w:rPr>
          <w:sz w:val="26"/>
          <w:szCs w:val="26"/>
        </w:rPr>
        <w:t xml:space="preserve">dovuto in larga parte </w:t>
      </w:r>
      <w:r w:rsidR="00EF60AD" w:rsidRPr="00301792">
        <w:rPr>
          <w:sz w:val="26"/>
          <w:szCs w:val="26"/>
        </w:rPr>
        <w:t xml:space="preserve">alla ripresa dei carburanti </w:t>
      </w:r>
      <w:r w:rsidR="008534D9" w:rsidRPr="00301792">
        <w:rPr>
          <w:sz w:val="26"/>
          <w:szCs w:val="26"/>
        </w:rPr>
        <w:t>e più in generale dei prodotti per la mobilità</w:t>
      </w:r>
      <w:r w:rsidR="00640477">
        <w:rPr>
          <w:sz w:val="26"/>
          <w:szCs w:val="26"/>
        </w:rPr>
        <w:t>, favorit</w:t>
      </w:r>
      <w:r w:rsidR="00857E7A">
        <w:rPr>
          <w:sz w:val="26"/>
          <w:szCs w:val="26"/>
        </w:rPr>
        <w:t>i</w:t>
      </w:r>
      <w:r w:rsidR="00640477">
        <w:rPr>
          <w:sz w:val="26"/>
          <w:szCs w:val="26"/>
        </w:rPr>
        <w:t xml:space="preserve"> dalla tenuta del settore dei servizi e del turismo. </w:t>
      </w:r>
      <w:r w:rsidR="00FD2DD5">
        <w:rPr>
          <w:sz w:val="26"/>
          <w:szCs w:val="26"/>
        </w:rPr>
        <w:t xml:space="preserve">In </w:t>
      </w:r>
      <w:r w:rsidR="00400CF1">
        <w:rPr>
          <w:sz w:val="26"/>
          <w:szCs w:val="26"/>
        </w:rPr>
        <w:t xml:space="preserve">calo </w:t>
      </w:r>
      <w:r w:rsidR="00FD2DD5">
        <w:rPr>
          <w:sz w:val="26"/>
          <w:szCs w:val="26"/>
        </w:rPr>
        <w:t xml:space="preserve">invece </w:t>
      </w:r>
      <w:r w:rsidR="00400CF1">
        <w:rPr>
          <w:sz w:val="26"/>
          <w:szCs w:val="26"/>
        </w:rPr>
        <w:t>i</w:t>
      </w:r>
      <w:r w:rsidR="00882264" w:rsidRPr="00301792">
        <w:rPr>
          <w:sz w:val="26"/>
          <w:szCs w:val="26"/>
        </w:rPr>
        <w:t xml:space="preserve"> consumi industriali e </w:t>
      </w:r>
      <w:r w:rsidR="00400CF1">
        <w:rPr>
          <w:sz w:val="26"/>
          <w:szCs w:val="26"/>
        </w:rPr>
        <w:t>della</w:t>
      </w:r>
      <w:r w:rsidR="00882264" w:rsidRPr="00301792">
        <w:rPr>
          <w:sz w:val="26"/>
          <w:szCs w:val="26"/>
        </w:rPr>
        <w:t xml:space="preserve"> petrolchimica.</w:t>
      </w:r>
    </w:p>
    <w:p w14:paraId="69A20890" w14:textId="6B10BEE7" w:rsidR="00125966" w:rsidRPr="00301792" w:rsidRDefault="00125966" w:rsidP="00301792">
      <w:pPr>
        <w:ind w:right="1700"/>
        <w:jc w:val="both"/>
        <w:rPr>
          <w:sz w:val="26"/>
          <w:szCs w:val="26"/>
        </w:rPr>
      </w:pPr>
      <w:r w:rsidRPr="00301792">
        <w:rPr>
          <w:sz w:val="26"/>
          <w:szCs w:val="26"/>
        </w:rPr>
        <w:t xml:space="preserve">Il </w:t>
      </w:r>
      <w:r w:rsidRPr="00301792">
        <w:rPr>
          <w:b/>
          <w:bCs/>
          <w:sz w:val="26"/>
          <w:szCs w:val="26"/>
        </w:rPr>
        <w:t>gas naturale</w:t>
      </w:r>
      <w:r w:rsidR="00857E7A" w:rsidRPr="00E74743">
        <w:rPr>
          <w:sz w:val="26"/>
          <w:szCs w:val="26"/>
        </w:rPr>
        <w:t>,</w:t>
      </w:r>
      <w:r w:rsidR="00857E7A" w:rsidRPr="00857E7A">
        <w:rPr>
          <w:sz w:val="26"/>
          <w:szCs w:val="26"/>
        </w:rPr>
        <w:t xml:space="preserve"> </w:t>
      </w:r>
      <w:r w:rsidR="00857E7A" w:rsidRPr="00301792">
        <w:rPr>
          <w:sz w:val="26"/>
          <w:szCs w:val="26"/>
        </w:rPr>
        <w:t>seconda fonte di energia italiana</w:t>
      </w:r>
      <w:r w:rsidR="00857E7A">
        <w:rPr>
          <w:b/>
          <w:bCs/>
          <w:sz w:val="26"/>
          <w:szCs w:val="26"/>
        </w:rPr>
        <w:t>,</w:t>
      </w:r>
      <w:r w:rsidR="00FF52F9" w:rsidRPr="00301792">
        <w:rPr>
          <w:b/>
          <w:bCs/>
          <w:sz w:val="26"/>
          <w:szCs w:val="26"/>
        </w:rPr>
        <w:t xml:space="preserve"> </w:t>
      </w:r>
      <w:r w:rsidRPr="00301792">
        <w:rPr>
          <w:sz w:val="26"/>
          <w:szCs w:val="26"/>
        </w:rPr>
        <w:t>limita la flessione a</w:t>
      </w:r>
      <w:r w:rsidR="001A71ED" w:rsidRPr="00301792">
        <w:rPr>
          <w:sz w:val="26"/>
          <w:szCs w:val="26"/>
        </w:rPr>
        <w:t>d un</w:t>
      </w:r>
      <w:r w:rsidRPr="00301792">
        <w:rPr>
          <w:sz w:val="26"/>
          <w:szCs w:val="26"/>
        </w:rPr>
        <w:t xml:space="preserve"> </w:t>
      </w:r>
      <w:r w:rsidR="001A71ED" w:rsidRPr="00301792">
        <w:rPr>
          <w:sz w:val="26"/>
          <w:szCs w:val="26"/>
        </w:rPr>
        <w:t xml:space="preserve">meno </w:t>
      </w:r>
      <w:r w:rsidR="008F1569">
        <w:rPr>
          <w:sz w:val="26"/>
          <w:szCs w:val="26"/>
        </w:rPr>
        <w:t>0</w:t>
      </w:r>
      <w:r w:rsidR="00762956">
        <w:rPr>
          <w:sz w:val="26"/>
          <w:szCs w:val="26"/>
        </w:rPr>
        <w:t>,</w:t>
      </w:r>
      <w:r w:rsidR="008F1569">
        <w:rPr>
          <w:sz w:val="26"/>
          <w:szCs w:val="26"/>
        </w:rPr>
        <w:t>7</w:t>
      </w:r>
      <w:r w:rsidRPr="00301792">
        <w:rPr>
          <w:sz w:val="26"/>
          <w:szCs w:val="26"/>
        </w:rPr>
        <w:t>%</w:t>
      </w:r>
      <w:r w:rsidR="00AB7806" w:rsidRPr="00301792">
        <w:rPr>
          <w:sz w:val="26"/>
          <w:szCs w:val="26"/>
        </w:rPr>
        <w:t xml:space="preserve"> </w:t>
      </w:r>
      <w:r w:rsidR="005A6133" w:rsidRPr="00301792">
        <w:rPr>
          <w:sz w:val="26"/>
          <w:szCs w:val="26"/>
        </w:rPr>
        <w:t>(-0,</w:t>
      </w:r>
      <w:r w:rsidR="008F1569">
        <w:rPr>
          <w:sz w:val="26"/>
          <w:szCs w:val="26"/>
        </w:rPr>
        <w:t>3</w:t>
      </w:r>
      <w:r w:rsidR="005A6133" w:rsidRPr="00301792">
        <w:rPr>
          <w:sz w:val="26"/>
          <w:szCs w:val="26"/>
        </w:rPr>
        <w:t xml:space="preserve"> Mtep)</w:t>
      </w:r>
      <w:r w:rsidR="00857E7A">
        <w:rPr>
          <w:sz w:val="26"/>
          <w:szCs w:val="26"/>
        </w:rPr>
        <w:t xml:space="preserve">. </w:t>
      </w:r>
      <w:r w:rsidR="00400CF1">
        <w:rPr>
          <w:sz w:val="26"/>
          <w:szCs w:val="26"/>
        </w:rPr>
        <w:t>Determinant</w:t>
      </w:r>
      <w:r w:rsidR="006D4E84">
        <w:rPr>
          <w:sz w:val="26"/>
          <w:szCs w:val="26"/>
        </w:rPr>
        <w:t>e è stato il mese di novembre che ha attenuato le tendenze emerse nel corso dell’anno</w:t>
      </w:r>
      <w:r w:rsidR="00AD727F">
        <w:rPr>
          <w:sz w:val="26"/>
          <w:szCs w:val="26"/>
        </w:rPr>
        <w:t>,</w:t>
      </w:r>
      <w:r w:rsidR="006D4E84">
        <w:rPr>
          <w:sz w:val="26"/>
          <w:szCs w:val="26"/>
        </w:rPr>
        <w:t xml:space="preserve"> caratterizzato dalle </w:t>
      </w:r>
      <w:r w:rsidR="00640477">
        <w:rPr>
          <w:sz w:val="26"/>
          <w:szCs w:val="26"/>
        </w:rPr>
        <w:t>t</w:t>
      </w:r>
      <w:r w:rsidR="00E24429" w:rsidRPr="00301792">
        <w:rPr>
          <w:sz w:val="26"/>
          <w:szCs w:val="26"/>
        </w:rPr>
        <w:t>emperature miti</w:t>
      </w:r>
      <w:r w:rsidR="006D4E84">
        <w:rPr>
          <w:sz w:val="26"/>
          <w:szCs w:val="26"/>
        </w:rPr>
        <w:t xml:space="preserve"> e dalla </w:t>
      </w:r>
      <w:r w:rsidR="00E24429" w:rsidRPr="00301792">
        <w:rPr>
          <w:sz w:val="26"/>
          <w:szCs w:val="26"/>
        </w:rPr>
        <w:t xml:space="preserve">frenata della </w:t>
      </w:r>
      <w:r w:rsidR="00640477">
        <w:rPr>
          <w:sz w:val="26"/>
          <w:szCs w:val="26"/>
        </w:rPr>
        <w:t>domanda</w:t>
      </w:r>
      <w:r w:rsidR="00640477" w:rsidRPr="00301792">
        <w:rPr>
          <w:sz w:val="26"/>
          <w:szCs w:val="26"/>
        </w:rPr>
        <w:t xml:space="preserve"> </w:t>
      </w:r>
      <w:r w:rsidR="00E24429" w:rsidRPr="00301792">
        <w:rPr>
          <w:sz w:val="26"/>
          <w:szCs w:val="26"/>
        </w:rPr>
        <w:t>industriale</w:t>
      </w:r>
      <w:r w:rsidR="00857E7A">
        <w:rPr>
          <w:sz w:val="26"/>
          <w:szCs w:val="26"/>
        </w:rPr>
        <w:t>, nonch</w:t>
      </w:r>
      <w:r w:rsidR="00400CF1">
        <w:rPr>
          <w:sz w:val="26"/>
          <w:szCs w:val="26"/>
        </w:rPr>
        <w:t>é</w:t>
      </w:r>
      <w:r w:rsidR="00640477">
        <w:rPr>
          <w:sz w:val="26"/>
          <w:szCs w:val="26"/>
        </w:rPr>
        <w:t xml:space="preserve"> </w:t>
      </w:r>
      <w:r w:rsidR="006D4E84">
        <w:rPr>
          <w:sz w:val="26"/>
          <w:szCs w:val="26"/>
        </w:rPr>
        <w:t>dal</w:t>
      </w:r>
      <w:r w:rsidR="00FD2DD5">
        <w:rPr>
          <w:sz w:val="26"/>
          <w:szCs w:val="26"/>
        </w:rPr>
        <w:t>l</w:t>
      </w:r>
      <w:r w:rsidR="00640477">
        <w:rPr>
          <w:sz w:val="26"/>
          <w:szCs w:val="26"/>
        </w:rPr>
        <w:t>a consistente crescita</w:t>
      </w:r>
      <w:r w:rsidR="00400CF1" w:rsidRPr="00400CF1">
        <w:rPr>
          <w:sz w:val="26"/>
          <w:szCs w:val="26"/>
        </w:rPr>
        <w:t xml:space="preserve"> </w:t>
      </w:r>
      <w:r w:rsidR="00400CF1">
        <w:rPr>
          <w:sz w:val="26"/>
          <w:szCs w:val="26"/>
        </w:rPr>
        <w:t>delle rinnovabili</w:t>
      </w:r>
      <w:r w:rsidR="00640477">
        <w:rPr>
          <w:sz w:val="26"/>
          <w:szCs w:val="26"/>
        </w:rPr>
        <w:t xml:space="preserve"> </w:t>
      </w:r>
      <w:r w:rsidR="00400CF1">
        <w:rPr>
          <w:sz w:val="26"/>
          <w:szCs w:val="26"/>
        </w:rPr>
        <w:t>n</w:t>
      </w:r>
      <w:r w:rsidR="00640477">
        <w:rPr>
          <w:sz w:val="26"/>
          <w:szCs w:val="26"/>
        </w:rPr>
        <w:t xml:space="preserve">ella produzione </w:t>
      </w:r>
      <w:r w:rsidR="006D4E84">
        <w:rPr>
          <w:sz w:val="26"/>
          <w:szCs w:val="26"/>
        </w:rPr>
        <w:t xml:space="preserve">di energia </w:t>
      </w:r>
      <w:r w:rsidR="00640477">
        <w:rPr>
          <w:sz w:val="26"/>
          <w:szCs w:val="26"/>
        </w:rPr>
        <w:t>elettrica</w:t>
      </w:r>
      <w:r w:rsidR="00864AFC">
        <w:rPr>
          <w:sz w:val="26"/>
          <w:szCs w:val="26"/>
        </w:rPr>
        <w:t>.</w:t>
      </w:r>
    </w:p>
    <w:p w14:paraId="17AC0DCB" w14:textId="424278CF" w:rsidR="00882264" w:rsidRPr="00301792" w:rsidRDefault="00882264" w:rsidP="00301792">
      <w:pPr>
        <w:ind w:right="1700"/>
        <w:jc w:val="both"/>
        <w:rPr>
          <w:sz w:val="26"/>
          <w:szCs w:val="26"/>
        </w:rPr>
      </w:pPr>
      <w:r w:rsidRPr="0004294D">
        <w:rPr>
          <w:sz w:val="26"/>
          <w:szCs w:val="26"/>
        </w:rPr>
        <w:t xml:space="preserve">Le </w:t>
      </w:r>
      <w:r w:rsidRPr="0004294D">
        <w:rPr>
          <w:b/>
          <w:bCs/>
          <w:sz w:val="26"/>
          <w:szCs w:val="26"/>
        </w:rPr>
        <w:t>rinnovabili</w:t>
      </w:r>
      <w:r w:rsidR="00AA3993" w:rsidRPr="0004294D">
        <w:rPr>
          <w:sz w:val="26"/>
          <w:szCs w:val="26"/>
        </w:rPr>
        <w:t>, che includono anche i biocarburanti,</w:t>
      </w:r>
      <w:r w:rsidRPr="0004294D">
        <w:rPr>
          <w:sz w:val="26"/>
          <w:szCs w:val="26"/>
        </w:rPr>
        <w:t xml:space="preserve"> </w:t>
      </w:r>
      <w:r w:rsidR="00857E7A" w:rsidRPr="0004294D">
        <w:rPr>
          <w:sz w:val="26"/>
          <w:szCs w:val="26"/>
        </w:rPr>
        <w:t>sono le fonti</w:t>
      </w:r>
      <w:r w:rsidR="00857E7A">
        <w:rPr>
          <w:sz w:val="26"/>
          <w:szCs w:val="26"/>
        </w:rPr>
        <w:t xml:space="preserve"> energetiche con la migliore dinamica dell’ann</w:t>
      </w:r>
      <w:r w:rsidR="000F6F8D">
        <w:rPr>
          <w:sz w:val="26"/>
          <w:szCs w:val="26"/>
        </w:rPr>
        <w:t>o</w:t>
      </w:r>
      <w:r w:rsidR="0004294D">
        <w:rPr>
          <w:sz w:val="26"/>
          <w:szCs w:val="26"/>
        </w:rPr>
        <w:t>,</w:t>
      </w:r>
      <w:r w:rsidR="000F6F8D">
        <w:rPr>
          <w:sz w:val="26"/>
          <w:szCs w:val="26"/>
        </w:rPr>
        <w:t xml:space="preserve"> con una</w:t>
      </w:r>
      <w:r w:rsidR="00857E7A">
        <w:rPr>
          <w:sz w:val="26"/>
          <w:szCs w:val="26"/>
        </w:rPr>
        <w:t xml:space="preserve"> </w:t>
      </w:r>
      <w:r w:rsidR="00857E7A" w:rsidRPr="00301792">
        <w:rPr>
          <w:sz w:val="26"/>
          <w:szCs w:val="26"/>
        </w:rPr>
        <w:t>cresc</w:t>
      </w:r>
      <w:r w:rsidR="00857E7A">
        <w:rPr>
          <w:sz w:val="26"/>
          <w:szCs w:val="26"/>
        </w:rPr>
        <w:t xml:space="preserve">ita </w:t>
      </w:r>
      <w:r w:rsidR="005571EC" w:rsidRPr="00301792">
        <w:rPr>
          <w:sz w:val="26"/>
          <w:szCs w:val="26"/>
        </w:rPr>
        <w:t>del 1</w:t>
      </w:r>
      <w:r w:rsidR="0028686D">
        <w:rPr>
          <w:sz w:val="26"/>
          <w:szCs w:val="26"/>
        </w:rPr>
        <w:t>2</w:t>
      </w:r>
      <w:r w:rsidR="005571EC" w:rsidRPr="00301792">
        <w:rPr>
          <w:sz w:val="26"/>
          <w:szCs w:val="26"/>
        </w:rPr>
        <w:t>%</w:t>
      </w:r>
      <w:r w:rsidR="00BD300E" w:rsidRPr="00301792">
        <w:rPr>
          <w:sz w:val="26"/>
          <w:szCs w:val="26"/>
        </w:rPr>
        <w:t xml:space="preserve"> </w:t>
      </w:r>
      <w:r w:rsidR="00F17FF6" w:rsidRPr="00301792">
        <w:rPr>
          <w:sz w:val="26"/>
          <w:szCs w:val="26"/>
        </w:rPr>
        <w:t>(+3,</w:t>
      </w:r>
      <w:r w:rsidR="0028686D">
        <w:rPr>
          <w:sz w:val="26"/>
          <w:szCs w:val="26"/>
        </w:rPr>
        <w:t>4</w:t>
      </w:r>
      <w:r w:rsidR="00F17FF6" w:rsidRPr="00301792">
        <w:rPr>
          <w:sz w:val="26"/>
          <w:szCs w:val="26"/>
        </w:rPr>
        <w:t xml:space="preserve"> Mtep) </w:t>
      </w:r>
      <w:r w:rsidR="005E41FD">
        <w:rPr>
          <w:sz w:val="26"/>
          <w:szCs w:val="26"/>
        </w:rPr>
        <w:t>dovuta</w:t>
      </w:r>
      <w:r w:rsidR="005E41FD" w:rsidRPr="00301792">
        <w:rPr>
          <w:sz w:val="26"/>
          <w:szCs w:val="26"/>
        </w:rPr>
        <w:t xml:space="preserve"> </w:t>
      </w:r>
      <w:r w:rsidR="00BD300E" w:rsidRPr="00301792">
        <w:rPr>
          <w:sz w:val="26"/>
          <w:szCs w:val="26"/>
        </w:rPr>
        <w:t>a</w:t>
      </w:r>
      <w:r w:rsidR="00857E7A">
        <w:rPr>
          <w:sz w:val="26"/>
          <w:szCs w:val="26"/>
        </w:rPr>
        <w:t xml:space="preserve">i risultati decisamente favorevoli della produzione di </w:t>
      </w:r>
      <w:r w:rsidR="005E41FD">
        <w:rPr>
          <w:sz w:val="26"/>
          <w:szCs w:val="26"/>
        </w:rPr>
        <w:t>energia elettrica</w:t>
      </w:r>
      <w:r w:rsidR="00AC715C">
        <w:rPr>
          <w:sz w:val="26"/>
          <w:szCs w:val="26"/>
        </w:rPr>
        <w:t xml:space="preserve">. L’aumento complessivo </w:t>
      </w:r>
      <w:r w:rsidR="00386C63">
        <w:rPr>
          <w:sz w:val="26"/>
          <w:szCs w:val="26"/>
        </w:rPr>
        <w:t xml:space="preserve">record </w:t>
      </w:r>
      <w:r w:rsidR="00AC715C">
        <w:rPr>
          <w:sz w:val="26"/>
          <w:szCs w:val="26"/>
        </w:rPr>
        <w:t xml:space="preserve">di oltre </w:t>
      </w:r>
      <w:r w:rsidR="00BC3A1D">
        <w:rPr>
          <w:sz w:val="26"/>
          <w:szCs w:val="26"/>
        </w:rPr>
        <w:t>20</w:t>
      </w:r>
      <w:r w:rsidR="00AC715C">
        <w:rPr>
          <w:sz w:val="26"/>
          <w:szCs w:val="26"/>
        </w:rPr>
        <w:t xml:space="preserve"> TWh </w:t>
      </w:r>
      <w:r w:rsidR="00BD300E" w:rsidRPr="00301792">
        <w:rPr>
          <w:sz w:val="26"/>
          <w:szCs w:val="26"/>
        </w:rPr>
        <w:t>dell’idroelettrico</w:t>
      </w:r>
      <w:r w:rsidR="00D30EB4" w:rsidRPr="00301792">
        <w:rPr>
          <w:sz w:val="26"/>
          <w:szCs w:val="26"/>
        </w:rPr>
        <w:t xml:space="preserve"> (+</w:t>
      </w:r>
      <w:r w:rsidR="00386C63">
        <w:rPr>
          <w:sz w:val="26"/>
          <w:szCs w:val="26"/>
        </w:rPr>
        <w:t>3</w:t>
      </w:r>
      <w:r w:rsidR="00AC715C">
        <w:rPr>
          <w:sz w:val="26"/>
          <w:szCs w:val="26"/>
        </w:rPr>
        <w:t>5</w:t>
      </w:r>
      <w:r w:rsidR="00D30EB4" w:rsidRPr="00301792">
        <w:rPr>
          <w:sz w:val="26"/>
          <w:szCs w:val="26"/>
        </w:rPr>
        <w:t>%)</w:t>
      </w:r>
      <w:r w:rsidR="00AB7806" w:rsidRPr="00301792">
        <w:rPr>
          <w:sz w:val="26"/>
          <w:szCs w:val="26"/>
        </w:rPr>
        <w:t xml:space="preserve"> </w:t>
      </w:r>
      <w:r w:rsidR="00A82FC4" w:rsidRPr="00301792">
        <w:rPr>
          <w:sz w:val="26"/>
          <w:szCs w:val="26"/>
        </w:rPr>
        <w:t xml:space="preserve">e </w:t>
      </w:r>
      <w:r w:rsidR="0061225C" w:rsidRPr="00301792">
        <w:rPr>
          <w:sz w:val="26"/>
          <w:szCs w:val="26"/>
        </w:rPr>
        <w:t>del fotovoltaico (+</w:t>
      </w:r>
      <w:r w:rsidR="00386C63">
        <w:rPr>
          <w:sz w:val="26"/>
          <w:szCs w:val="26"/>
        </w:rPr>
        <w:t>31</w:t>
      </w:r>
      <w:r w:rsidR="0061225C" w:rsidRPr="00301792">
        <w:rPr>
          <w:sz w:val="26"/>
          <w:szCs w:val="26"/>
        </w:rPr>
        <w:t>%)</w:t>
      </w:r>
      <w:r w:rsidR="00AC715C">
        <w:rPr>
          <w:sz w:val="26"/>
          <w:szCs w:val="26"/>
        </w:rPr>
        <w:t xml:space="preserve"> </w:t>
      </w:r>
      <w:r w:rsidR="00386C63">
        <w:rPr>
          <w:sz w:val="26"/>
          <w:szCs w:val="26"/>
        </w:rPr>
        <w:t xml:space="preserve">insieme, </w:t>
      </w:r>
      <w:r w:rsidR="00AC715C">
        <w:rPr>
          <w:sz w:val="26"/>
          <w:szCs w:val="26"/>
        </w:rPr>
        <w:t>ha infatti più che compensato i modesti cali del geotermico e</w:t>
      </w:r>
      <w:r w:rsidR="009C6229" w:rsidRPr="00301792">
        <w:rPr>
          <w:sz w:val="26"/>
          <w:szCs w:val="26"/>
        </w:rPr>
        <w:t xml:space="preserve"> dell’eolico</w:t>
      </w:r>
      <w:r w:rsidR="00386C63">
        <w:rPr>
          <w:sz w:val="26"/>
          <w:szCs w:val="26"/>
        </w:rPr>
        <w:t>.</w:t>
      </w:r>
    </w:p>
    <w:p w14:paraId="1F6A835A" w14:textId="21B6F691" w:rsidR="004F1599" w:rsidRPr="00301792" w:rsidRDefault="004F1599" w:rsidP="00301792">
      <w:pPr>
        <w:ind w:right="1700"/>
        <w:jc w:val="both"/>
        <w:rPr>
          <w:sz w:val="26"/>
          <w:szCs w:val="26"/>
        </w:rPr>
      </w:pPr>
      <w:r w:rsidRPr="00301792">
        <w:rPr>
          <w:sz w:val="26"/>
          <w:szCs w:val="26"/>
        </w:rPr>
        <w:t xml:space="preserve">Il </w:t>
      </w:r>
      <w:r w:rsidRPr="00301792">
        <w:rPr>
          <w:b/>
          <w:bCs/>
          <w:sz w:val="26"/>
          <w:szCs w:val="26"/>
        </w:rPr>
        <w:t>carbone</w:t>
      </w:r>
      <w:r w:rsidR="00AC715C">
        <w:rPr>
          <w:b/>
          <w:bCs/>
          <w:sz w:val="26"/>
          <w:szCs w:val="26"/>
        </w:rPr>
        <w:t>,</w:t>
      </w:r>
      <w:r w:rsidRPr="00301792">
        <w:rPr>
          <w:sz w:val="26"/>
          <w:szCs w:val="26"/>
        </w:rPr>
        <w:t xml:space="preserve"> </w:t>
      </w:r>
      <w:r w:rsidR="00AC715C" w:rsidRPr="00301792">
        <w:rPr>
          <w:sz w:val="26"/>
          <w:szCs w:val="26"/>
        </w:rPr>
        <w:t xml:space="preserve">con un meno </w:t>
      </w:r>
      <w:r w:rsidR="00AC715C">
        <w:rPr>
          <w:sz w:val="26"/>
          <w:szCs w:val="26"/>
        </w:rPr>
        <w:t>6</w:t>
      </w:r>
      <w:r w:rsidR="009D4BF2">
        <w:rPr>
          <w:sz w:val="26"/>
          <w:szCs w:val="26"/>
        </w:rPr>
        <w:t>3</w:t>
      </w:r>
      <w:r w:rsidR="00AC715C" w:rsidRPr="00301792">
        <w:rPr>
          <w:sz w:val="26"/>
          <w:szCs w:val="26"/>
        </w:rPr>
        <w:t>% (-</w:t>
      </w:r>
      <w:r w:rsidR="00AC715C">
        <w:rPr>
          <w:sz w:val="26"/>
          <w:szCs w:val="26"/>
        </w:rPr>
        <w:t>3,</w:t>
      </w:r>
      <w:r w:rsidR="009D4BF2">
        <w:rPr>
          <w:sz w:val="26"/>
          <w:szCs w:val="26"/>
        </w:rPr>
        <w:t>8</w:t>
      </w:r>
      <w:r w:rsidR="00AC715C" w:rsidRPr="00301792">
        <w:rPr>
          <w:sz w:val="26"/>
          <w:szCs w:val="26"/>
        </w:rPr>
        <w:t xml:space="preserve"> Mtep)</w:t>
      </w:r>
      <w:r w:rsidR="00AC715C">
        <w:rPr>
          <w:sz w:val="26"/>
          <w:szCs w:val="26"/>
        </w:rPr>
        <w:t>,</w:t>
      </w:r>
      <w:r w:rsidR="00AC715C" w:rsidRPr="00301792">
        <w:rPr>
          <w:sz w:val="26"/>
          <w:szCs w:val="26"/>
        </w:rPr>
        <w:t xml:space="preserve"> </w:t>
      </w:r>
      <w:r w:rsidR="00AC715C">
        <w:rPr>
          <w:sz w:val="26"/>
          <w:szCs w:val="26"/>
        </w:rPr>
        <w:t xml:space="preserve">crolla al </w:t>
      </w:r>
      <w:r w:rsidR="00AC715C" w:rsidRPr="00301792">
        <w:rPr>
          <w:sz w:val="26"/>
          <w:szCs w:val="26"/>
        </w:rPr>
        <w:t>suo minimo storico</w:t>
      </w:r>
      <w:r w:rsidR="00AC715C">
        <w:rPr>
          <w:sz w:val="26"/>
          <w:szCs w:val="26"/>
        </w:rPr>
        <w:t xml:space="preserve"> per effetto della drastica riduzione </w:t>
      </w:r>
      <w:r w:rsidR="005E41FD">
        <w:rPr>
          <w:sz w:val="26"/>
          <w:szCs w:val="26"/>
        </w:rPr>
        <w:t>degli impieghi</w:t>
      </w:r>
      <w:r w:rsidR="00AC715C">
        <w:rPr>
          <w:sz w:val="26"/>
          <w:szCs w:val="26"/>
        </w:rPr>
        <w:t xml:space="preserve"> nella</w:t>
      </w:r>
      <w:r w:rsidR="00AC715C" w:rsidRPr="00301792">
        <w:rPr>
          <w:sz w:val="26"/>
          <w:szCs w:val="26"/>
        </w:rPr>
        <w:t xml:space="preserve"> </w:t>
      </w:r>
      <w:r w:rsidR="00DF5EF0" w:rsidRPr="00301792">
        <w:rPr>
          <w:sz w:val="26"/>
          <w:szCs w:val="26"/>
        </w:rPr>
        <w:t>generazione di energia elettrica</w:t>
      </w:r>
      <w:r w:rsidR="00AC715C">
        <w:rPr>
          <w:sz w:val="26"/>
          <w:szCs w:val="26"/>
        </w:rPr>
        <w:t xml:space="preserve"> dove </w:t>
      </w:r>
      <w:r w:rsidR="005E41FD">
        <w:rPr>
          <w:sz w:val="26"/>
          <w:szCs w:val="26"/>
        </w:rPr>
        <w:t>ha contribuito</w:t>
      </w:r>
      <w:r w:rsidR="00AC715C">
        <w:rPr>
          <w:sz w:val="26"/>
          <w:szCs w:val="26"/>
        </w:rPr>
        <w:t xml:space="preserve"> per circa l’1%,</w:t>
      </w:r>
      <w:r w:rsidR="00DF5EF0" w:rsidRPr="00301792">
        <w:rPr>
          <w:sz w:val="26"/>
          <w:szCs w:val="26"/>
        </w:rPr>
        <w:t xml:space="preserve"> </w:t>
      </w:r>
      <w:r w:rsidR="006135DA" w:rsidRPr="00301792">
        <w:rPr>
          <w:sz w:val="26"/>
          <w:szCs w:val="26"/>
        </w:rPr>
        <w:t>rispetto al 5% dello scorso anno</w:t>
      </w:r>
      <w:r w:rsidR="00F91163" w:rsidRPr="00301792">
        <w:rPr>
          <w:sz w:val="26"/>
          <w:szCs w:val="26"/>
        </w:rPr>
        <w:t>.</w:t>
      </w:r>
    </w:p>
    <w:p w14:paraId="1E5C5AD9" w14:textId="57DDAE02" w:rsidR="00D54B26" w:rsidRPr="00301792" w:rsidRDefault="00C97FA7" w:rsidP="00301792">
      <w:pPr>
        <w:ind w:right="1700"/>
        <w:jc w:val="both"/>
        <w:rPr>
          <w:sz w:val="26"/>
          <w:szCs w:val="26"/>
        </w:rPr>
      </w:pPr>
      <w:r>
        <w:rPr>
          <w:b/>
          <w:bCs/>
          <w:noProof/>
          <w:sz w:val="26"/>
          <w:szCs w:val="26"/>
        </w:rPr>
        <mc:AlternateContent>
          <mc:Choice Requires="wps">
            <w:drawing>
              <wp:anchor distT="0" distB="0" distL="114300" distR="114300" simplePos="0" relativeHeight="251754496" behindDoc="0" locked="0" layoutInCell="1" allowOverlap="1" wp14:anchorId="5927CA45" wp14:editId="28096A61">
                <wp:simplePos x="0" y="0"/>
                <wp:positionH relativeFrom="column">
                  <wp:posOffset>5378450</wp:posOffset>
                </wp:positionH>
                <wp:positionV relativeFrom="paragraph">
                  <wp:posOffset>30811</wp:posOffset>
                </wp:positionV>
                <wp:extent cx="1017270" cy="309880"/>
                <wp:effectExtent l="0" t="0" r="11430" b="13970"/>
                <wp:wrapNone/>
                <wp:docPr id="623704808"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D6A608" w14:textId="03E82E78" w:rsidR="00C97FA7" w:rsidRPr="00301792" w:rsidRDefault="00C97FA7" w:rsidP="00C97FA7">
                            <w:pPr>
                              <w:jc w:val="center"/>
                              <w:rPr>
                                <w:b/>
                                <w:bCs/>
                                <w:sz w:val="28"/>
                                <w:szCs w:val="28"/>
                              </w:rPr>
                            </w:pPr>
                            <w:r w:rsidRPr="00301792">
                              <w:rPr>
                                <w:b/>
                                <w:bCs/>
                                <w:sz w:val="28"/>
                                <w:szCs w:val="28"/>
                              </w:rPr>
                              <w:t xml:space="preserve">Slide </w:t>
                            </w:r>
                            <w:r>
                              <w:rPr>
                                <w:b/>
                                <w:bCs/>
                                <w:sz w:val="28"/>
                                <w:szCs w:val="28"/>
                              </w:rPr>
                              <w:t>11</w:t>
                            </w:r>
                          </w:p>
                          <w:p w14:paraId="1FAC4372" w14:textId="77777777" w:rsidR="00C97FA7" w:rsidRPr="00301792" w:rsidRDefault="00C97FA7" w:rsidP="00C97FA7">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7CA45" id="_x0000_s1038" style="position:absolute;left:0;text-align:left;margin-left:423.5pt;margin-top:2.45pt;width:80.1pt;height:24.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" fillcolor="#0070c0" strokecolor="#0070c0" strokeweight="1pt">
                <v:textbox>
                  <w:txbxContent>
                    <w:p w14:paraId="22D6A608" w14:textId="03E82E78" w:rsidR="00C97FA7" w:rsidRPr="00301792" w:rsidRDefault="00C97FA7" w:rsidP="00C97FA7">
                      <w:pPr>
                        <w:jc w:val="center"/>
                        <w:rPr>
                          <w:b/>
                          <w:bCs/>
                          <w:sz w:val="28"/>
                          <w:szCs w:val="28"/>
                        </w:rPr>
                      </w:pPr>
                      <w:r w:rsidRPr="00301792">
                        <w:rPr>
                          <w:b/>
                          <w:bCs/>
                          <w:sz w:val="28"/>
                          <w:szCs w:val="28"/>
                        </w:rPr>
                        <w:t xml:space="preserve">Slide </w:t>
                      </w:r>
                      <w:r>
                        <w:rPr>
                          <w:b/>
                          <w:bCs/>
                          <w:sz w:val="28"/>
                          <w:szCs w:val="28"/>
                        </w:rPr>
                        <w:t>11</w:t>
                      </w:r>
                    </w:p>
                    <w:p w14:paraId="1FAC4372" w14:textId="77777777" w:rsidR="00C97FA7" w:rsidRPr="00301792" w:rsidRDefault="00C97FA7" w:rsidP="00C97FA7">
                      <w:pPr>
                        <w:jc w:val="center"/>
                        <w:rPr>
                          <w:b/>
                          <w:bCs/>
                          <w:sz w:val="28"/>
                          <w:szCs w:val="28"/>
                        </w:rPr>
                      </w:pPr>
                    </w:p>
                  </w:txbxContent>
                </v:textbox>
              </v:rect>
            </w:pict>
          </mc:Fallback>
        </mc:AlternateContent>
      </w:r>
      <w:r w:rsidR="00460843" w:rsidRPr="00301792">
        <w:rPr>
          <w:sz w:val="26"/>
          <w:szCs w:val="26"/>
        </w:rPr>
        <w:t xml:space="preserve">I </w:t>
      </w:r>
      <w:r w:rsidR="00460843" w:rsidRPr="00301792">
        <w:rPr>
          <w:b/>
          <w:bCs/>
          <w:sz w:val="26"/>
          <w:szCs w:val="26"/>
        </w:rPr>
        <w:t>consumi petroliferi</w:t>
      </w:r>
      <w:r w:rsidR="00460843" w:rsidRPr="00301792">
        <w:rPr>
          <w:sz w:val="26"/>
          <w:szCs w:val="26"/>
        </w:rPr>
        <w:t xml:space="preserve"> nel complesso hanno evidenziato un progresso dell’1,7% rispetto al 2023</w:t>
      </w:r>
      <w:r w:rsidR="000A3695" w:rsidRPr="00301792">
        <w:rPr>
          <w:sz w:val="26"/>
          <w:szCs w:val="26"/>
        </w:rPr>
        <w:t xml:space="preserve">, </w:t>
      </w:r>
      <w:r w:rsidR="00667413" w:rsidRPr="00301792">
        <w:rPr>
          <w:sz w:val="26"/>
          <w:szCs w:val="26"/>
        </w:rPr>
        <w:t>sostenuti</w:t>
      </w:r>
      <w:r w:rsidR="00D54B26" w:rsidRPr="00301792">
        <w:rPr>
          <w:sz w:val="26"/>
          <w:szCs w:val="26"/>
        </w:rPr>
        <w:t xml:space="preserve"> </w:t>
      </w:r>
      <w:r w:rsidR="00667413" w:rsidRPr="00301792">
        <w:rPr>
          <w:sz w:val="26"/>
          <w:szCs w:val="26"/>
        </w:rPr>
        <w:t>dal</w:t>
      </w:r>
      <w:r w:rsidR="00D54B26" w:rsidRPr="00301792">
        <w:rPr>
          <w:sz w:val="26"/>
          <w:szCs w:val="26"/>
        </w:rPr>
        <w:t xml:space="preserve"> buon andamento</w:t>
      </w:r>
      <w:r w:rsidR="006233A7" w:rsidRPr="00301792">
        <w:rPr>
          <w:sz w:val="26"/>
          <w:szCs w:val="26"/>
        </w:rPr>
        <w:t xml:space="preserve"> </w:t>
      </w:r>
      <w:r w:rsidR="005D1864" w:rsidRPr="00301792">
        <w:rPr>
          <w:sz w:val="26"/>
          <w:szCs w:val="26"/>
        </w:rPr>
        <w:t xml:space="preserve">della </w:t>
      </w:r>
      <w:r w:rsidR="00D54B26" w:rsidRPr="00301792">
        <w:rPr>
          <w:sz w:val="26"/>
          <w:szCs w:val="26"/>
        </w:rPr>
        <w:t xml:space="preserve">benzina </w:t>
      </w:r>
      <w:r w:rsidR="00D54B26" w:rsidRPr="00301792">
        <w:rPr>
          <w:sz w:val="26"/>
          <w:szCs w:val="26"/>
        </w:rPr>
        <w:lastRenderedPageBreak/>
        <w:t>(+5</w:t>
      </w:r>
      <w:r w:rsidR="00C7220F" w:rsidRPr="00301792">
        <w:rPr>
          <w:sz w:val="26"/>
          <w:szCs w:val="26"/>
        </w:rPr>
        <w:t>,</w:t>
      </w:r>
      <w:r w:rsidR="00D54B26" w:rsidRPr="00301792">
        <w:rPr>
          <w:sz w:val="26"/>
          <w:szCs w:val="26"/>
        </w:rPr>
        <w:t>8%)</w:t>
      </w:r>
      <w:r w:rsidR="00937F17" w:rsidRPr="00301792">
        <w:rPr>
          <w:sz w:val="26"/>
          <w:szCs w:val="26"/>
        </w:rPr>
        <w:t xml:space="preserve"> e del carboturbo (+10,2%)</w:t>
      </w:r>
      <w:r w:rsidR="00AC715C">
        <w:rPr>
          <w:sz w:val="26"/>
          <w:szCs w:val="26"/>
        </w:rPr>
        <w:t>,</w:t>
      </w:r>
      <w:r w:rsidR="003B0289" w:rsidRPr="00301792">
        <w:rPr>
          <w:sz w:val="26"/>
          <w:szCs w:val="26"/>
        </w:rPr>
        <w:t xml:space="preserve"> che ha</w:t>
      </w:r>
      <w:r w:rsidR="00937F17" w:rsidRPr="00301792">
        <w:rPr>
          <w:sz w:val="26"/>
          <w:szCs w:val="26"/>
        </w:rPr>
        <w:t>nno</w:t>
      </w:r>
      <w:r w:rsidR="003B0289" w:rsidRPr="00301792">
        <w:rPr>
          <w:sz w:val="26"/>
          <w:szCs w:val="26"/>
        </w:rPr>
        <w:t xml:space="preserve"> </w:t>
      </w:r>
      <w:r w:rsidR="002F4A60" w:rsidRPr="00301792">
        <w:rPr>
          <w:sz w:val="26"/>
          <w:szCs w:val="26"/>
        </w:rPr>
        <w:t xml:space="preserve">entrambi </w:t>
      </w:r>
      <w:r w:rsidR="003B0289" w:rsidRPr="00301792">
        <w:rPr>
          <w:sz w:val="26"/>
          <w:szCs w:val="26"/>
        </w:rPr>
        <w:t>superato i livelli pre-pandemici</w:t>
      </w:r>
      <w:r w:rsidR="005368C6">
        <w:rPr>
          <w:sz w:val="26"/>
          <w:szCs w:val="26"/>
        </w:rPr>
        <w:t xml:space="preserve"> (+3%)</w:t>
      </w:r>
      <w:r w:rsidR="00F1012B" w:rsidRPr="00301792">
        <w:rPr>
          <w:sz w:val="26"/>
          <w:szCs w:val="26"/>
        </w:rPr>
        <w:t xml:space="preserve">. </w:t>
      </w:r>
    </w:p>
    <w:p w14:paraId="320A0DAB" w14:textId="155DEBA7" w:rsidR="005D1864" w:rsidRPr="00301792" w:rsidRDefault="005F6B78" w:rsidP="00301792">
      <w:pPr>
        <w:ind w:right="1700"/>
        <w:jc w:val="both"/>
        <w:rPr>
          <w:sz w:val="26"/>
          <w:szCs w:val="26"/>
        </w:rPr>
      </w:pPr>
      <w:r w:rsidRPr="00301792">
        <w:rPr>
          <w:sz w:val="26"/>
          <w:szCs w:val="26"/>
        </w:rPr>
        <w:t>Prendendo i</w:t>
      </w:r>
      <w:r w:rsidR="0037675E" w:rsidRPr="00301792">
        <w:rPr>
          <w:sz w:val="26"/>
          <w:szCs w:val="26"/>
        </w:rPr>
        <w:t xml:space="preserve"> soli </w:t>
      </w:r>
      <w:r w:rsidR="0037675E" w:rsidRPr="00301792">
        <w:rPr>
          <w:b/>
          <w:bCs/>
          <w:sz w:val="26"/>
          <w:szCs w:val="26"/>
        </w:rPr>
        <w:t>prodotti per la mobilità</w:t>
      </w:r>
      <w:r w:rsidR="0037675E" w:rsidRPr="00301792">
        <w:rPr>
          <w:sz w:val="26"/>
          <w:szCs w:val="26"/>
        </w:rPr>
        <w:t xml:space="preserve"> (benzina, gasolio, gpl auto, carboturbo e bunker)</w:t>
      </w:r>
      <w:r w:rsidR="00943A52" w:rsidRPr="00301792">
        <w:rPr>
          <w:sz w:val="26"/>
          <w:szCs w:val="26"/>
        </w:rPr>
        <w:t xml:space="preserve">, che rappresentano il </w:t>
      </w:r>
      <w:r w:rsidR="00035B1C" w:rsidRPr="00301792">
        <w:rPr>
          <w:sz w:val="26"/>
          <w:szCs w:val="26"/>
        </w:rPr>
        <w:t xml:space="preserve">72% del totale </w:t>
      </w:r>
      <w:r w:rsidR="002C548C">
        <w:rPr>
          <w:sz w:val="26"/>
          <w:szCs w:val="26"/>
        </w:rPr>
        <w:t>vendite</w:t>
      </w:r>
      <w:r w:rsidR="00035B1C" w:rsidRPr="00301792">
        <w:rPr>
          <w:sz w:val="26"/>
          <w:szCs w:val="26"/>
        </w:rPr>
        <w:t xml:space="preserve">, </w:t>
      </w:r>
      <w:r w:rsidR="0037675E" w:rsidRPr="00301792">
        <w:rPr>
          <w:sz w:val="26"/>
          <w:szCs w:val="26"/>
        </w:rPr>
        <w:t>il progresso dive</w:t>
      </w:r>
      <w:r w:rsidR="00943A52" w:rsidRPr="00301792">
        <w:rPr>
          <w:sz w:val="26"/>
          <w:szCs w:val="26"/>
        </w:rPr>
        <w:t>nta del 3,7% rispetto al 2023 e dell’1,9</w:t>
      </w:r>
      <w:r w:rsidR="00035B1C" w:rsidRPr="00301792">
        <w:rPr>
          <w:sz w:val="26"/>
          <w:szCs w:val="26"/>
        </w:rPr>
        <w:t xml:space="preserve">% </w:t>
      </w:r>
      <w:r w:rsidR="00943A52" w:rsidRPr="00301792">
        <w:rPr>
          <w:sz w:val="26"/>
          <w:szCs w:val="26"/>
        </w:rPr>
        <w:t>rispetto ai valori pre-pandemia</w:t>
      </w:r>
      <w:r w:rsidR="00AC715C">
        <w:rPr>
          <w:sz w:val="26"/>
          <w:szCs w:val="26"/>
        </w:rPr>
        <w:t xml:space="preserve">, </w:t>
      </w:r>
      <w:r w:rsidR="00FB47E7">
        <w:rPr>
          <w:sz w:val="26"/>
          <w:szCs w:val="26"/>
        </w:rPr>
        <w:t>a conferma della centralità di questi prodotti</w:t>
      </w:r>
      <w:r w:rsidR="00AC715C">
        <w:rPr>
          <w:sz w:val="26"/>
          <w:szCs w:val="26"/>
        </w:rPr>
        <w:t xml:space="preserve"> (compresi i biofuel)</w:t>
      </w:r>
      <w:r w:rsidR="00FB47E7">
        <w:rPr>
          <w:sz w:val="26"/>
          <w:szCs w:val="26"/>
        </w:rPr>
        <w:t xml:space="preserve"> nella </w:t>
      </w:r>
      <w:r w:rsidR="00AC715C">
        <w:rPr>
          <w:sz w:val="26"/>
          <w:szCs w:val="26"/>
        </w:rPr>
        <w:t>mobilità del nostro Paese</w:t>
      </w:r>
      <w:r w:rsidR="00943A52" w:rsidRPr="00301792">
        <w:rPr>
          <w:sz w:val="26"/>
          <w:szCs w:val="26"/>
        </w:rPr>
        <w:t>.</w:t>
      </w:r>
    </w:p>
    <w:p w14:paraId="550941DE" w14:textId="58C22F90" w:rsidR="003B0289" w:rsidRPr="00301792" w:rsidRDefault="00347B48" w:rsidP="00301792">
      <w:pPr>
        <w:ind w:right="1700"/>
        <w:jc w:val="both"/>
        <w:rPr>
          <w:sz w:val="26"/>
          <w:szCs w:val="26"/>
        </w:rPr>
      </w:pPr>
      <w:r>
        <w:rPr>
          <w:b/>
          <w:bCs/>
          <w:noProof/>
          <w:sz w:val="26"/>
          <w:szCs w:val="26"/>
        </w:rPr>
        <mc:AlternateContent>
          <mc:Choice Requires="wps">
            <w:drawing>
              <wp:anchor distT="0" distB="0" distL="114300" distR="114300" simplePos="0" relativeHeight="251756544" behindDoc="0" locked="0" layoutInCell="1" allowOverlap="1" wp14:anchorId="563781F8" wp14:editId="3566BE1B">
                <wp:simplePos x="0" y="0"/>
                <wp:positionH relativeFrom="column">
                  <wp:posOffset>5379720</wp:posOffset>
                </wp:positionH>
                <wp:positionV relativeFrom="paragraph">
                  <wp:posOffset>47321</wp:posOffset>
                </wp:positionV>
                <wp:extent cx="1017270" cy="309880"/>
                <wp:effectExtent l="0" t="0" r="11430" b="13970"/>
                <wp:wrapNone/>
                <wp:docPr id="959934746"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45AED6" w14:textId="62BB64E0" w:rsidR="00347B48" w:rsidRPr="00301792" w:rsidRDefault="00347B48" w:rsidP="00347B48">
                            <w:pPr>
                              <w:jc w:val="center"/>
                              <w:rPr>
                                <w:b/>
                                <w:bCs/>
                                <w:sz w:val="28"/>
                                <w:szCs w:val="28"/>
                              </w:rPr>
                            </w:pPr>
                            <w:r w:rsidRPr="00301792">
                              <w:rPr>
                                <w:b/>
                                <w:bCs/>
                                <w:sz w:val="28"/>
                                <w:szCs w:val="28"/>
                              </w:rPr>
                              <w:t xml:space="preserve">Slide </w:t>
                            </w:r>
                            <w:r>
                              <w:rPr>
                                <w:b/>
                                <w:bCs/>
                                <w:sz w:val="28"/>
                                <w:szCs w:val="28"/>
                              </w:rPr>
                              <w:t>12</w:t>
                            </w:r>
                          </w:p>
                          <w:p w14:paraId="42512182" w14:textId="77777777" w:rsidR="00347B48" w:rsidRPr="00301792" w:rsidRDefault="00347B48" w:rsidP="00347B48">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781F8" id="_x0000_s1039" style="position:absolute;left:0;text-align:left;margin-left:423.6pt;margin-top:3.75pt;width:80.1pt;height:2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" fillcolor="#0070c0" strokecolor="#0070c0" strokeweight="1pt">
                <v:textbox>
                  <w:txbxContent>
                    <w:p w14:paraId="2E45AED6" w14:textId="62BB64E0" w:rsidR="00347B48" w:rsidRPr="00301792" w:rsidRDefault="00347B48" w:rsidP="00347B48">
                      <w:pPr>
                        <w:jc w:val="center"/>
                        <w:rPr>
                          <w:b/>
                          <w:bCs/>
                          <w:sz w:val="28"/>
                          <w:szCs w:val="28"/>
                        </w:rPr>
                      </w:pPr>
                      <w:r w:rsidRPr="00301792">
                        <w:rPr>
                          <w:b/>
                          <w:bCs/>
                          <w:sz w:val="28"/>
                          <w:szCs w:val="28"/>
                        </w:rPr>
                        <w:t xml:space="preserve">Slide </w:t>
                      </w:r>
                      <w:r>
                        <w:rPr>
                          <w:b/>
                          <w:bCs/>
                          <w:sz w:val="28"/>
                          <w:szCs w:val="28"/>
                        </w:rPr>
                        <w:t>12</w:t>
                      </w:r>
                    </w:p>
                    <w:p w14:paraId="42512182" w14:textId="77777777" w:rsidR="00347B48" w:rsidRPr="00301792" w:rsidRDefault="00347B48" w:rsidP="00347B48">
                      <w:pPr>
                        <w:jc w:val="center"/>
                        <w:rPr>
                          <w:b/>
                          <w:bCs/>
                          <w:sz w:val="28"/>
                          <w:szCs w:val="28"/>
                        </w:rPr>
                      </w:pPr>
                    </w:p>
                  </w:txbxContent>
                </v:textbox>
              </v:rect>
            </w:pict>
          </mc:Fallback>
        </mc:AlternateContent>
      </w:r>
      <w:r w:rsidR="00667413" w:rsidRPr="00301792">
        <w:rPr>
          <w:sz w:val="26"/>
          <w:szCs w:val="26"/>
        </w:rPr>
        <w:t xml:space="preserve">Considerando i soli </w:t>
      </w:r>
      <w:r w:rsidR="00667413" w:rsidRPr="00301792">
        <w:rPr>
          <w:b/>
          <w:bCs/>
          <w:sz w:val="26"/>
          <w:szCs w:val="26"/>
        </w:rPr>
        <w:t>carburanti</w:t>
      </w:r>
      <w:r w:rsidR="00667413" w:rsidRPr="00301792">
        <w:rPr>
          <w:sz w:val="26"/>
          <w:szCs w:val="26"/>
        </w:rPr>
        <w:t xml:space="preserve"> </w:t>
      </w:r>
      <w:r w:rsidR="00035B1C" w:rsidRPr="00301792">
        <w:rPr>
          <w:sz w:val="26"/>
          <w:szCs w:val="26"/>
        </w:rPr>
        <w:t>(benzina, gasolio e gpl auto</w:t>
      </w:r>
      <w:r w:rsidR="00375A03" w:rsidRPr="00301792">
        <w:rPr>
          <w:sz w:val="26"/>
          <w:szCs w:val="26"/>
        </w:rPr>
        <w:t>, con la loro sempre più consistente componente bio</w:t>
      </w:r>
      <w:r w:rsidR="00035B1C" w:rsidRPr="00301792">
        <w:rPr>
          <w:sz w:val="26"/>
          <w:szCs w:val="26"/>
        </w:rPr>
        <w:t>)</w:t>
      </w:r>
      <w:r w:rsidR="00375A03" w:rsidRPr="00301792">
        <w:rPr>
          <w:sz w:val="26"/>
          <w:szCs w:val="26"/>
        </w:rPr>
        <w:t>,</w:t>
      </w:r>
      <w:r w:rsidR="00AB7085" w:rsidRPr="00301792">
        <w:rPr>
          <w:sz w:val="26"/>
          <w:szCs w:val="26"/>
        </w:rPr>
        <w:t xml:space="preserve"> la variazione percentuale </w:t>
      </w:r>
      <w:r w:rsidR="00483284" w:rsidRPr="00301792">
        <w:rPr>
          <w:sz w:val="26"/>
          <w:szCs w:val="26"/>
        </w:rPr>
        <w:t>diventa</w:t>
      </w:r>
      <w:r w:rsidR="00A174B7" w:rsidRPr="00301792">
        <w:rPr>
          <w:sz w:val="26"/>
          <w:szCs w:val="26"/>
        </w:rPr>
        <w:t xml:space="preserve"> del </w:t>
      </w:r>
      <w:r w:rsidR="008F57E3" w:rsidRPr="00301792">
        <w:rPr>
          <w:sz w:val="26"/>
          <w:szCs w:val="26"/>
        </w:rPr>
        <w:t>+</w:t>
      </w:r>
      <w:r w:rsidR="00A174B7" w:rsidRPr="00301792">
        <w:rPr>
          <w:sz w:val="26"/>
          <w:szCs w:val="26"/>
        </w:rPr>
        <w:t>2,</w:t>
      </w:r>
      <w:r w:rsidR="00B75D51" w:rsidRPr="00301792">
        <w:rPr>
          <w:sz w:val="26"/>
          <w:szCs w:val="26"/>
        </w:rPr>
        <w:t>6</w:t>
      </w:r>
      <w:r w:rsidR="00A174B7" w:rsidRPr="00301792">
        <w:rPr>
          <w:sz w:val="26"/>
          <w:szCs w:val="26"/>
        </w:rPr>
        <w:t xml:space="preserve">%, con la benzina che </w:t>
      </w:r>
      <w:r w:rsidR="006E03FF" w:rsidRPr="00301792">
        <w:rPr>
          <w:sz w:val="26"/>
          <w:szCs w:val="26"/>
        </w:rPr>
        <w:t xml:space="preserve">nel 2024 </w:t>
      </w:r>
      <w:r w:rsidR="00A174B7" w:rsidRPr="00301792">
        <w:rPr>
          <w:sz w:val="26"/>
          <w:szCs w:val="26"/>
        </w:rPr>
        <w:t>si è avvicinata ai 9 milioni di tonnellate</w:t>
      </w:r>
      <w:r w:rsidR="00822497" w:rsidRPr="00301792">
        <w:rPr>
          <w:sz w:val="26"/>
          <w:szCs w:val="26"/>
        </w:rPr>
        <w:t xml:space="preserve">. </w:t>
      </w:r>
      <w:r w:rsidR="002A2F11" w:rsidRPr="0083621E">
        <w:rPr>
          <w:sz w:val="26"/>
          <w:szCs w:val="26"/>
        </w:rPr>
        <w:t>Va rilevato che l’Italia</w:t>
      </w:r>
      <w:r w:rsidR="0083621E">
        <w:rPr>
          <w:sz w:val="26"/>
          <w:szCs w:val="26"/>
        </w:rPr>
        <w:t>,</w:t>
      </w:r>
      <w:r w:rsidR="002A2F11" w:rsidRPr="0083621E">
        <w:rPr>
          <w:sz w:val="26"/>
          <w:szCs w:val="26"/>
        </w:rPr>
        <w:t xml:space="preserve"> tra i principali Paesi europei</w:t>
      </w:r>
      <w:r w:rsidR="0083621E">
        <w:rPr>
          <w:sz w:val="26"/>
          <w:szCs w:val="26"/>
        </w:rPr>
        <w:t>,</w:t>
      </w:r>
      <w:r w:rsidR="002A2F11" w:rsidRPr="0083621E">
        <w:rPr>
          <w:sz w:val="26"/>
          <w:szCs w:val="26"/>
        </w:rPr>
        <w:t xml:space="preserve"> è l’unico che ha visto un aumento nelle vendite di carburanti</w:t>
      </w:r>
      <w:r w:rsidR="0083621E">
        <w:rPr>
          <w:sz w:val="26"/>
          <w:szCs w:val="26"/>
        </w:rPr>
        <w:t xml:space="preserve"> sia rispetto al 2019 che al 2023</w:t>
      </w:r>
      <w:r w:rsidR="002A2F11" w:rsidRPr="0083621E">
        <w:rPr>
          <w:sz w:val="26"/>
          <w:szCs w:val="26"/>
        </w:rPr>
        <w:t>.</w:t>
      </w:r>
      <w:r w:rsidR="005234AC" w:rsidRPr="00301792">
        <w:rPr>
          <w:sz w:val="26"/>
          <w:szCs w:val="26"/>
        </w:rPr>
        <w:t xml:space="preserve"> </w:t>
      </w:r>
      <w:r w:rsidR="00B75D51" w:rsidRPr="00301792">
        <w:rPr>
          <w:sz w:val="26"/>
          <w:szCs w:val="26"/>
        </w:rPr>
        <w:t>U</w:t>
      </w:r>
      <w:r w:rsidR="006E03FF" w:rsidRPr="00301792">
        <w:rPr>
          <w:sz w:val="26"/>
          <w:szCs w:val="26"/>
        </w:rPr>
        <w:t xml:space="preserve">n risultato effetto </w:t>
      </w:r>
      <w:r w:rsidR="00962450" w:rsidRPr="00301792">
        <w:rPr>
          <w:sz w:val="26"/>
          <w:szCs w:val="26"/>
        </w:rPr>
        <w:t>della crescita degli spostamenti che vedono nell’auto privata la scelta dominante, considerato che il 6</w:t>
      </w:r>
      <w:r w:rsidR="002C548C">
        <w:rPr>
          <w:sz w:val="26"/>
          <w:szCs w:val="26"/>
        </w:rPr>
        <w:t>3</w:t>
      </w:r>
      <w:r w:rsidR="00962450" w:rsidRPr="00301792">
        <w:rPr>
          <w:sz w:val="26"/>
          <w:szCs w:val="26"/>
        </w:rPr>
        <w:t>% degli spostamenti complessivi sono soddisfatti dalle «quattro ruote», e di una progressiva penetrazione delle auto ibride (principalmente a benzina)</w:t>
      </w:r>
      <w:r w:rsidR="00AC715C">
        <w:rPr>
          <w:sz w:val="26"/>
          <w:szCs w:val="26"/>
        </w:rPr>
        <w:t>,</w:t>
      </w:r>
      <w:r w:rsidR="00962450" w:rsidRPr="00301792">
        <w:rPr>
          <w:sz w:val="26"/>
          <w:szCs w:val="26"/>
        </w:rPr>
        <w:t xml:space="preserve"> che nel 2024 hanno rappresentato </w:t>
      </w:r>
      <w:r w:rsidR="002C548C">
        <w:rPr>
          <w:sz w:val="26"/>
          <w:szCs w:val="26"/>
        </w:rPr>
        <w:t>oltre il</w:t>
      </w:r>
      <w:r w:rsidR="00962450" w:rsidRPr="00301792">
        <w:rPr>
          <w:sz w:val="26"/>
          <w:szCs w:val="26"/>
        </w:rPr>
        <w:t xml:space="preserve"> 40% delle nuove immatricolazioni. </w:t>
      </w:r>
    </w:p>
    <w:p w14:paraId="0201F2F3" w14:textId="52D1DFB7" w:rsidR="00473C36" w:rsidRDefault="003D3972" w:rsidP="00301792">
      <w:pPr>
        <w:ind w:right="1700"/>
        <w:jc w:val="both"/>
        <w:rPr>
          <w:sz w:val="26"/>
          <w:szCs w:val="26"/>
        </w:rPr>
      </w:pPr>
      <w:r>
        <w:rPr>
          <w:b/>
          <w:bCs/>
          <w:noProof/>
          <w:sz w:val="26"/>
          <w:szCs w:val="26"/>
        </w:rPr>
        <mc:AlternateContent>
          <mc:Choice Requires="wps">
            <w:drawing>
              <wp:anchor distT="0" distB="0" distL="114300" distR="114300" simplePos="0" relativeHeight="251758592" behindDoc="0" locked="0" layoutInCell="1" allowOverlap="1" wp14:anchorId="27E63A72" wp14:editId="61296559">
                <wp:simplePos x="0" y="0"/>
                <wp:positionH relativeFrom="column">
                  <wp:posOffset>5374640</wp:posOffset>
                </wp:positionH>
                <wp:positionV relativeFrom="paragraph">
                  <wp:posOffset>56211</wp:posOffset>
                </wp:positionV>
                <wp:extent cx="1017270" cy="309880"/>
                <wp:effectExtent l="0" t="0" r="11430" b="13970"/>
                <wp:wrapNone/>
                <wp:docPr id="147397701"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3B78C9" w14:textId="6B50B111" w:rsidR="003D3972" w:rsidRPr="00301792" w:rsidRDefault="003D3972" w:rsidP="003D3972">
                            <w:pPr>
                              <w:jc w:val="center"/>
                              <w:rPr>
                                <w:b/>
                                <w:bCs/>
                                <w:sz w:val="28"/>
                                <w:szCs w:val="28"/>
                              </w:rPr>
                            </w:pPr>
                            <w:r w:rsidRPr="00301792">
                              <w:rPr>
                                <w:b/>
                                <w:bCs/>
                                <w:sz w:val="28"/>
                                <w:szCs w:val="28"/>
                              </w:rPr>
                              <w:t xml:space="preserve">Slide </w:t>
                            </w:r>
                            <w:r>
                              <w:rPr>
                                <w:b/>
                                <w:bCs/>
                                <w:sz w:val="28"/>
                                <w:szCs w:val="28"/>
                              </w:rPr>
                              <w:t>13</w:t>
                            </w:r>
                          </w:p>
                          <w:p w14:paraId="3B957D14" w14:textId="77777777" w:rsidR="003D3972" w:rsidRPr="00301792" w:rsidRDefault="003D3972" w:rsidP="003D3972">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3A72" id="_x0000_s1040" style="position:absolute;left:0;text-align:left;margin-left:423.2pt;margin-top:4.45pt;width:80.1pt;height:2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" fillcolor="#0070c0" strokecolor="#0070c0" strokeweight="1pt">
                <v:textbox>
                  <w:txbxContent>
                    <w:p w14:paraId="233B78C9" w14:textId="6B50B111" w:rsidR="003D3972" w:rsidRPr="00301792" w:rsidRDefault="003D3972" w:rsidP="003D3972">
                      <w:pPr>
                        <w:jc w:val="center"/>
                        <w:rPr>
                          <w:b/>
                          <w:bCs/>
                          <w:sz w:val="28"/>
                          <w:szCs w:val="28"/>
                        </w:rPr>
                      </w:pPr>
                      <w:r w:rsidRPr="00301792">
                        <w:rPr>
                          <w:b/>
                          <w:bCs/>
                          <w:sz w:val="28"/>
                          <w:szCs w:val="28"/>
                        </w:rPr>
                        <w:t xml:space="preserve">Slide </w:t>
                      </w:r>
                      <w:r>
                        <w:rPr>
                          <w:b/>
                          <w:bCs/>
                          <w:sz w:val="28"/>
                          <w:szCs w:val="28"/>
                        </w:rPr>
                        <w:t>13</w:t>
                      </w:r>
                    </w:p>
                    <w:p w14:paraId="3B957D14" w14:textId="77777777" w:rsidR="003D3972" w:rsidRPr="00301792" w:rsidRDefault="003D3972" w:rsidP="003D3972">
                      <w:pPr>
                        <w:jc w:val="center"/>
                        <w:rPr>
                          <w:b/>
                          <w:bCs/>
                          <w:sz w:val="28"/>
                          <w:szCs w:val="28"/>
                        </w:rPr>
                      </w:pPr>
                    </w:p>
                  </w:txbxContent>
                </v:textbox>
              </v:rect>
            </w:pict>
          </mc:Fallback>
        </mc:AlternateContent>
      </w:r>
      <w:r w:rsidR="006B7AA4" w:rsidRPr="00301792">
        <w:rPr>
          <w:sz w:val="26"/>
          <w:szCs w:val="26"/>
        </w:rPr>
        <w:t xml:space="preserve">L’Italia </w:t>
      </w:r>
      <w:r w:rsidR="008876D2" w:rsidRPr="00301792">
        <w:rPr>
          <w:sz w:val="26"/>
          <w:szCs w:val="26"/>
        </w:rPr>
        <w:t xml:space="preserve">è il </w:t>
      </w:r>
      <w:r w:rsidR="005E32E7" w:rsidRPr="00301792">
        <w:rPr>
          <w:sz w:val="26"/>
          <w:szCs w:val="26"/>
        </w:rPr>
        <w:t xml:space="preserve">secondo </w:t>
      </w:r>
      <w:r w:rsidR="005E32E7" w:rsidRPr="00301792">
        <w:rPr>
          <w:b/>
          <w:bCs/>
          <w:sz w:val="26"/>
          <w:szCs w:val="26"/>
        </w:rPr>
        <w:t>parco circolan</w:t>
      </w:r>
      <w:r w:rsidR="008A0119" w:rsidRPr="00301792">
        <w:rPr>
          <w:b/>
          <w:bCs/>
          <w:sz w:val="26"/>
          <w:szCs w:val="26"/>
        </w:rPr>
        <w:t>te</w:t>
      </w:r>
      <w:r w:rsidR="008A0119" w:rsidRPr="00301792">
        <w:rPr>
          <w:sz w:val="26"/>
          <w:szCs w:val="26"/>
        </w:rPr>
        <w:t xml:space="preserve"> </w:t>
      </w:r>
      <w:r w:rsidR="005733D9" w:rsidRPr="00301792">
        <w:rPr>
          <w:sz w:val="26"/>
          <w:szCs w:val="26"/>
        </w:rPr>
        <w:t xml:space="preserve">della UE ed è terza per le </w:t>
      </w:r>
      <w:r w:rsidR="005733D9" w:rsidRPr="00301792">
        <w:rPr>
          <w:b/>
          <w:bCs/>
          <w:sz w:val="26"/>
          <w:szCs w:val="26"/>
        </w:rPr>
        <w:t>nuove immatricolazioni</w:t>
      </w:r>
      <w:r w:rsidR="005733D9" w:rsidRPr="00301792">
        <w:rPr>
          <w:sz w:val="26"/>
          <w:szCs w:val="26"/>
        </w:rPr>
        <w:t xml:space="preserve">. </w:t>
      </w:r>
      <w:r w:rsidR="002A081A" w:rsidRPr="00301792">
        <w:rPr>
          <w:sz w:val="26"/>
          <w:szCs w:val="26"/>
        </w:rPr>
        <w:t xml:space="preserve">È anche uno dei </w:t>
      </w:r>
      <w:r w:rsidR="00AC715C">
        <w:rPr>
          <w:sz w:val="26"/>
          <w:szCs w:val="26"/>
        </w:rPr>
        <w:t>P</w:t>
      </w:r>
      <w:r w:rsidR="00AC715C" w:rsidRPr="00301792">
        <w:rPr>
          <w:sz w:val="26"/>
          <w:szCs w:val="26"/>
        </w:rPr>
        <w:t xml:space="preserve">aesi </w:t>
      </w:r>
      <w:r w:rsidR="002A081A" w:rsidRPr="00301792">
        <w:rPr>
          <w:sz w:val="26"/>
          <w:szCs w:val="26"/>
        </w:rPr>
        <w:t xml:space="preserve">con il più alto </w:t>
      </w:r>
      <w:r w:rsidR="002A081A" w:rsidRPr="00301792">
        <w:rPr>
          <w:b/>
          <w:bCs/>
          <w:sz w:val="26"/>
          <w:szCs w:val="26"/>
        </w:rPr>
        <w:t>tasso di motorizzazione</w:t>
      </w:r>
      <w:r w:rsidR="000A3B3D" w:rsidRPr="00301792">
        <w:rPr>
          <w:sz w:val="26"/>
          <w:szCs w:val="26"/>
        </w:rPr>
        <w:t xml:space="preserve"> </w:t>
      </w:r>
      <w:r w:rsidR="00645FAC" w:rsidRPr="00301792">
        <w:rPr>
          <w:sz w:val="26"/>
          <w:szCs w:val="26"/>
        </w:rPr>
        <w:t>(69</w:t>
      </w:r>
      <w:r w:rsidR="00A4586C" w:rsidRPr="00301792">
        <w:rPr>
          <w:sz w:val="26"/>
          <w:szCs w:val="26"/>
        </w:rPr>
        <w:t xml:space="preserve"> auto</w:t>
      </w:r>
      <w:r w:rsidR="00645FAC" w:rsidRPr="00301792">
        <w:rPr>
          <w:sz w:val="26"/>
          <w:szCs w:val="26"/>
        </w:rPr>
        <w:t xml:space="preserve"> per 100 abitanti) </w:t>
      </w:r>
      <w:r w:rsidR="006A7107" w:rsidRPr="00301792">
        <w:rPr>
          <w:sz w:val="26"/>
          <w:szCs w:val="26"/>
        </w:rPr>
        <w:t xml:space="preserve">dove il vettore elettrico </w:t>
      </w:r>
      <w:r w:rsidR="00B0485A" w:rsidRPr="00301792">
        <w:rPr>
          <w:sz w:val="26"/>
          <w:szCs w:val="26"/>
        </w:rPr>
        <w:t>rappresenta lo 0,5% del totale</w:t>
      </w:r>
      <w:r w:rsidR="006A7107" w:rsidRPr="00301792">
        <w:rPr>
          <w:sz w:val="26"/>
          <w:szCs w:val="26"/>
        </w:rPr>
        <w:t xml:space="preserve">. </w:t>
      </w:r>
    </w:p>
    <w:p w14:paraId="21D273F9" w14:textId="3A592E26" w:rsidR="00BB2D69" w:rsidRPr="00301792" w:rsidRDefault="00473C36" w:rsidP="00301792">
      <w:pPr>
        <w:ind w:right="1700"/>
        <w:jc w:val="both"/>
        <w:rPr>
          <w:sz w:val="26"/>
          <w:szCs w:val="26"/>
        </w:rPr>
      </w:pPr>
      <w:r>
        <w:rPr>
          <w:b/>
          <w:bCs/>
          <w:noProof/>
          <w:sz w:val="26"/>
          <w:szCs w:val="26"/>
        </w:rPr>
        <mc:AlternateContent>
          <mc:Choice Requires="wps">
            <w:drawing>
              <wp:anchor distT="0" distB="0" distL="114300" distR="114300" simplePos="0" relativeHeight="251760640" behindDoc="0" locked="0" layoutInCell="1" allowOverlap="1" wp14:anchorId="6AC1DE8E" wp14:editId="4D4C4C5F">
                <wp:simplePos x="0" y="0"/>
                <wp:positionH relativeFrom="column">
                  <wp:posOffset>5386705</wp:posOffset>
                </wp:positionH>
                <wp:positionV relativeFrom="paragraph">
                  <wp:posOffset>48564</wp:posOffset>
                </wp:positionV>
                <wp:extent cx="1017270" cy="309880"/>
                <wp:effectExtent l="0" t="0" r="11430" b="13970"/>
                <wp:wrapNone/>
                <wp:docPr id="1209476036"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52FCBA" w14:textId="2DA99B3A" w:rsidR="00473C36" w:rsidRPr="00301792" w:rsidRDefault="00473C36" w:rsidP="00473C36">
                            <w:pPr>
                              <w:jc w:val="center"/>
                              <w:rPr>
                                <w:b/>
                                <w:bCs/>
                                <w:sz w:val="28"/>
                                <w:szCs w:val="28"/>
                              </w:rPr>
                            </w:pPr>
                            <w:r w:rsidRPr="00301792">
                              <w:rPr>
                                <w:b/>
                                <w:bCs/>
                                <w:sz w:val="28"/>
                                <w:szCs w:val="28"/>
                              </w:rPr>
                              <w:t xml:space="preserve">Slide </w:t>
                            </w:r>
                            <w:r>
                              <w:rPr>
                                <w:b/>
                                <w:bCs/>
                                <w:sz w:val="28"/>
                                <w:szCs w:val="28"/>
                              </w:rPr>
                              <w:t>14</w:t>
                            </w:r>
                          </w:p>
                          <w:p w14:paraId="20B627D1" w14:textId="77777777" w:rsidR="00473C36" w:rsidRPr="00301792" w:rsidRDefault="00473C36" w:rsidP="00473C36">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1DE8E" id="_x0000_s1041" style="position:absolute;left:0;text-align:left;margin-left:424.15pt;margin-top:3.8pt;width:80.1pt;height:2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xiAIAAJs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" fillcolor="#0070c0" strokecolor="#0070c0" strokeweight="1pt">
                <v:textbox>
                  <w:txbxContent>
                    <w:p w14:paraId="0E52FCBA" w14:textId="2DA99B3A" w:rsidR="00473C36" w:rsidRPr="00301792" w:rsidRDefault="00473C36" w:rsidP="00473C36">
                      <w:pPr>
                        <w:jc w:val="center"/>
                        <w:rPr>
                          <w:b/>
                          <w:bCs/>
                          <w:sz w:val="28"/>
                          <w:szCs w:val="28"/>
                        </w:rPr>
                      </w:pPr>
                      <w:r w:rsidRPr="00301792">
                        <w:rPr>
                          <w:b/>
                          <w:bCs/>
                          <w:sz w:val="28"/>
                          <w:szCs w:val="28"/>
                        </w:rPr>
                        <w:t xml:space="preserve">Slide </w:t>
                      </w:r>
                      <w:r>
                        <w:rPr>
                          <w:b/>
                          <w:bCs/>
                          <w:sz w:val="28"/>
                          <w:szCs w:val="28"/>
                        </w:rPr>
                        <w:t>14</w:t>
                      </w:r>
                    </w:p>
                    <w:p w14:paraId="20B627D1" w14:textId="77777777" w:rsidR="00473C36" w:rsidRPr="00301792" w:rsidRDefault="00473C36" w:rsidP="00473C36">
                      <w:pPr>
                        <w:jc w:val="center"/>
                        <w:rPr>
                          <w:b/>
                          <w:bCs/>
                          <w:sz w:val="28"/>
                          <w:szCs w:val="28"/>
                        </w:rPr>
                      </w:pPr>
                    </w:p>
                  </w:txbxContent>
                </v:textbox>
              </v:rect>
            </w:pict>
          </mc:Fallback>
        </mc:AlternateContent>
      </w:r>
      <w:r w:rsidR="005F6B78" w:rsidRPr="00301792">
        <w:rPr>
          <w:sz w:val="26"/>
          <w:szCs w:val="26"/>
        </w:rPr>
        <w:t>Guardando</w:t>
      </w:r>
      <w:r w:rsidR="003E60F1" w:rsidRPr="00301792">
        <w:rPr>
          <w:sz w:val="26"/>
          <w:szCs w:val="26"/>
        </w:rPr>
        <w:t xml:space="preserve"> </w:t>
      </w:r>
      <w:r w:rsidR="00AC715C">
        <w:rPr>
          <w:sz w:val="26"/>
          <w:szCs w:val="26"/>
        </w:rPr>
        <w:t>alle dinamiche delle immatricolazioni di auto</w:t>
      </w:r>
      <w:r w:rsidR="005F6B78" w:rsidRPr="00301792">
        <w:rPr>
          <w:sz w:val="26"/>
          <w:szCs w:val="26"/>
        </w:rPr>
        <w:t xml:space="preserve">, </w:t>
      </w:r>
      <w:r w:rsidR="00645FAC" w:rsidRPr="00301792">
        <w:rPr>
          <w:sz w:val="26"/>
          <w:szCs w:val="26"/>
        </w:rPr>
        <w:t xml:space="preserve">nel 2024 si conferma la netta prevalenza </w:t>
      </w:r>
      <w:r w:rsidR="00195800" w:rsidRPr="00301792">
        <w:rPr>
          <w:sz w:val="26"/>
          <w:szCs w:val="26"/>
        </w:rPr>
        <w:t xml:space="preserve">del mercato dell’usato </w:t>
      </w:r>
      <w:r w:rsidR="009E6668" w:rsidRPr="00301792">
        <w:rPr>
          <w:sz w:val="26"/>
          <w:szCs w:val="26"/>
        </w:rPr>
        <w:t xml:space="preserve">sul nuovo che </w:t>
      </w:r>
      <w:r w:rsidR="00AC715C">
        <w:rPr>
          <w:sz w:val="26"/>
          <w:szCs w:val="26"/>
        </w:rPr>
        <w:t>rispetto al</w:t>
      </w:r>
      <w:r w:rsidR="00FB47E7">
        <w:rPr>
          <w:sz w:val="26"/>
          <w:szCs w:val="26"/>
        </w:rPr>
        <w:t xml:space="preserve"> </w:t>
      </w:r>
      <w:r w:rsidR="0053163C" w:rsidRPr="00301792">
        <w:rPr>
          <w:sz w:val="26"/>
          <w:szCs w:val="26"/>
        </w:rPr>
        <w:t>2019 ha mostrato un calo del 18</w:t>
      </w:r>
      <w:r w:rsidR="0083621E">
        <w:rPr>
          <w:sz w:val="26"/>
          <w:szCs w:val="26"/>
        </w:rPr>
        <w:t>%, usato</w:t>
      </w:r>
      <w:r w:rsidR="00A62691" w:rsidRPr="00301792">
        <w:rPr>
          <w:sz w:val="26"/>
          <w:szCs w:val="26"/>
        </w:rPr>
        <w:t xml:space="preserve"> </w:t>
      </w:r>
      <w:r w:rsidR="003E2F74" w:rsidRPr="00301792">
        <w:rPr>
          <w:sz w:val="26"/>
          <w:szCs w:val="26"/>
        </w:rPr>
        <w:t>caratterizzato per il</w:t>
      </w:r>
      <w:r w:rsidR="00A62691" w:rsidRPr="00301792">
        <w:rPr>
          <w:sz w:val="26"/>
          <w:szCs w:val="26"/>
        </w:rPr>
        <w:t xml:space="preserve"> 9</w:t>
      </w:r>
      <w:r w:rsidR="00D3258F">
        <w:rPr>
          <w:sz w:val="26"/>
          <w:szCs w:val="26"/>
        </w:rPr>
        <w:t>4</w:t>
      </w:r>
      <w:r w:rsidR="00A62691" w:rsidRPr="00301792">
        <w:rPr>
          <w:sz w:val="26"/>
          <w:szCs w:val="26"/>
        </w:rPr>
        <w:t xml:space="preserve">% </w:t>
      </w:r>
      <w:r w:rsidR="003E2F74" w:rsidRPr="00301792">
        <w:rPr>
          <w:sz w:val="26"/>
          <w:szCs w:val="26"/>
        </w:rPr>
        <w:t>da motori tradizionali:</w:t>
      </w:r>
      <w:r w:rsidR="00A62691" w:rsidRPr="00301792">
        <w:rPr>
          <w:sz w:val="26"/>
          <w:szCs w:val="26"/>
        </w:rPr>
        <w:t xml:space="preserve"> diesel (4</w:t>
      </w:r>
      <w:r w:rsidR="00D3258F">
        <w:rPr>
          <w:sz w:val="26"/>
          <w:szCs w:val="26"/>
        </w:rPr>
        <w:t>5</w:t>
      </w:r>
      <w:r w:rsidR="00A62691" w:rsidRPr="00301792">
        <w:rPr>
          <w:sz w:val="26"/>
          <w:szCs w:val="26"/>
        </w:rPr>
        <w:t>%)</w:t>
      </w:r>
      <w:r w:rsidR="003E2F74" w:rsidRPr="00301792">
        <w:rPr>
          <w:sz w:val="26"/>
          <w:szCs w:val="26"/>
        </w:rPr>
        <w:t>,</w:t>
      </w:r>
      <w:r w:rsidR="00A62691" w:rsidRPr="00301792">
        <w:rPr>
          <w:sz w:val="26"/>
          <w:szCs w:val="26"/>
        </w:rPr>
        <w:t xml:space="preserve"> benzina (</w:t>
      </w:r>
      <w:r w:rsidR="00523052" w:rsidRPr="00301792">
        <w:rPr>
          <w:sz w:val="26"/>
          <w:szCs w:val="26"/>
        </w:rPr>
        <w:t>39%).</w:t>
      </w:r>
      <w:r w:rsidR="00BB2D69" w:rsidRPr="00301792">
        <w:rPr>
          <w:sz w:val="26"/>
          <w:szCs w:val="26"/>
        </w:rPr>
        <w:t xml:space="preserve"> L’incertezza degli automobilisti rispetto alle nuove motorizzazione e i costi associati </w:t>
      </w:r>
      <w:r w:rsidR="008B4CF9">
        <w:rPr>
          <w:sz w:val="26"/>
          <w:szCs w:val="26"/>
        </w:rPr>
        <w:t>continuano</w:t>
      </w:r>
      <w:r w:rsidR="00E844A3">
        <w:rPr>
          <w:sz w:val="26"/>
          <w:szCs w:val="26"/>
        </w:rPr>
        <w:t xml:space="preserve"> infatti</w:t>
      </w:r>
      <w:r w:rsidR="008B4CF9">
        <w:rPr>
          <w:sz w:val="26"/>
          <w:szCs w:val="26"/>
        </w:rPr>
        <w:t xml:space="preserve"> ad orientare</w:t>
      </w:r>
      <w:r w:rsidR="00BB2D69" w:rsidRPr="00301792">
        <w:rPr>
          <w:sz w:val="26"/>
          <w:szCs w:val="26"/>
        </w:rPr>
        <w:t xml:space="preserve"> l</w:t>
      </w:r>
      <w:r w:rsidR="00632209">
        <w:rPr>
          <w:sz w:val="26"/>
          <w:szCs w:val="26"/>
        </w:rPr>
        <w:t>a</w:t>
      </w:r>
      <w:r w:rsidR="00BB2D69" w:rsidRPr="00301792">
        <w:rPr>
          <w:sz w:val="26"/>
          <w:szCs w:val="26"/>
        </w:rPr>
        <w:t xml:space="preserve"> scelt</w:t>
      </w:r>
      <w:r w:rsidR="00632209">
        <w:rPr>
          <w:sz w:val="26"/>
          <w:szCs w:val="26"/>
        </w:rPr>
        <w:t>a</w:t>
      </w:r>
      <w:r w:rsidR="00BB2D69" w:rsidRPr="00301792">
        <w:rPr>
          <w:sz w:val="26"/>
          <w:szCs w:val="26"/>
        </w:rPr>
        <w:t xml:space="preserve"> verso il mercato dell’usato.</w:t>
      </w:r>
      <w:r w:rsidR="00131734" w:rsidRPr="00301792">
        <w:rPr>
          <w:sz w:val="26"/>
          <w:szCs w:val="26"/>
        </w:rPr>
        <w:t xml:space="preserve"> </w:t>
      </w:r>
    </w:p>
    <w:p w14:paraId="0AD43C8C" w14:textId="0767AB54" w:rsidR="00DE6BA0" w:rsidRPr="00301792" w:rsidRDefault="003E2F74" w:rsidP="00301792">
      <w:pPr>
        <w:ind w:right="1700"/>
        <w:jc w:val="both"/>
        <w:rPr>
          <w:sz w:val="26"/>
          <w:szCs w:val="26"/>
        </w:rPr>
      </w:pPr>
      <w:r w:rsidRPr="00301792">
        <w:rPr>
          <w:sz w:val="26"/>
          <w:szCs w:val="26"/>
        </w:rPr>
        <w:t>L</w:t>
      </w:r>
      <w:r w:rsidR="008239DE" w:rsidRPr="00301792">
        <w:rPr>
          <w:sz w:val="26"/>
          <w:szCs w:val="26"/>
        </w:rPr>
        <w:t xml:space="preserve">e nuove auto </w:t>
      </w:r>
      <w:r w:rsidR="00614495" w:rsidRPr="00301792">
        <w:rPr>
          <w:sz w:val="26"/>
          <w:szCs w:val="26"/>
        </w:rPr>
        <w:t xml:space="preserve">a emissioni zero </w:t>
      </w:r>
      <w:r w:rsidR="00E844A3">
        <w:rPr>
          <w:sz w:val="26"/>
          <w:szCs w:val="26"/>
        </w:rPr>
        <w:t xml:space="preserve">allo scarico </w:t>
      </w:r>
      <w:r w:rsidR="008239DE" w:rsidRPr="00301792">
        <w:rPr>
          <w:sz w:val="26"/>
          <w:szCs w:val="26"/>
        </w:rPr>
        <w:t>non hanno</w:t>
      </w:r>
      <w:r w:rsidRPr="00301792">
        <w:rPr>
          <w:sz w:val="26"/>
          <w:szCs w:val="26"/>
        </w:rPr>
        <w:t xml:space="preserve"> quindi</w:t>
      </w:r>
      <w:r w:rsidR="008239DE" w:rsidRPr="00301792">
        <w:rPr>
          <w:sz w:val="26"/>
          <w:szCs w:val="26"/>
        </w:rPr>
        <w:t xml:space="preserve"> ancora contribuito a decarbonizzare </w:t>
      </w:r>
      <w:r w:rsidR="00614495" w:rsidRPr="00301792">
        <w:rPr>
          <w:sz w:val="26"/>
          <w:szCs w:val="26"/>
        </w:rPr>
        <w:t xml:space="preserve">un parco </w:t>
      </w:r>
      <w:r w:rsidR="003450C3" w:rsidRPr="00301792">
        <w:rPr>
          <w:sz w:val="26"/>
          <w:szCs w:val="26"/>
        </w:rPr>
        <w:t xml:space="preserve">che continua a crescere </w:t>
      </w:r>
      <w:r w:rsidR="00131734" w:rsidRPr="00301792">
        <w:rPr>
          <w:sz w:val="26"/>
          <w:szCs w:val="26"/>
        </w:rPr>
        <w:t xml:space="preserve">con </w:t>
      </w:r>
      <w:r w:rsidR="003450C3" w:rsidRPr="00301792">
        <w:rPr>
          <w:sz w:val="26"/>
          <w:szCs w:val="26"/>
        </w:rPr>
        <w:t>increment</w:t>
      </w:r>
      <w:r w:rsidR="00E904B9" w:rsidRPr="00301792">
        <w:rPr>
          <w:sz w:val="26"/>
          <w:szCs w:val="26"/>
        </w:rPr>
        <w:t>i</w:t>
      </w:r>
      <w:r w:rsidR="003450C3" w:rsidRPr="00301792">
        <w:rPr>
          <w:sz w:val="26"/>
          <w:szCs w:val="26"/>
        </w:rPr>
        <w:t xml:space="preserve"> </w:t>
      </w:r>
      <w:r w:rsidR="00131734" w:rsidRPr="00301792">
        <w:rPr>
          <w:sz w:val="26"/>
          <w:szCs w:val="26"/>
        </w:rPr>
        <w:t xml:space="preserve">che </w:t>
      </w:r>
      <w:r w:rsidR="003450C3" w:rsidRPr="00301792">
        <w:rPr>
          <w:sz w:val="26"/>
          <w:szCs w:val="26"/>
        </w:rPr>
        <w:t>supera</w:t>
      </w:r>
      <w:r w:rsidR="00E904B9" w:rsidRPr="00301792">
        <w:rPr>
          <w:sz w:val="26"/>
          <w:szCs w:val="26"/>
        </w:rPr>
        <w:t>no</w:t>
      </w:r>
      <w:r w:rsidR="003450C3" w:rsidRPr="00301792">
        <w:rPr>
          <w:sz w:val="26"/>
          <w:szCs w:val="26"/>
        </w:rPr>
        <w:t xml:space="preserve"> le nuove immatricolazioni di auto </w:t>
      </w:r>
      <w:r w:rsidR="003450C3" w:rsidRPr="00301792">
        <w:rPr>
          <w:i/>
          <w:iCs/>
          <w:sz w:val="26"/>
          <w:szCs w:val="26"/>
        </w:rPr>
        <w:t>full-electric</w:t>
      </w:r>
      <w:r w:rsidR="00944A4B" w:rsidRPr="00301792">
        <w:rPr>
          <w:sz w:val="26"/>
          <w:szCs w:val="26"/>
        </w:rPr>
        <w:t xml:space="preserve"> (BEV)</w:t>
      </w:r>
      <w:r w:rsidR="003450C3" w:rsidRPr="00301792">
        <w:rPr>
          <w:sz w:val="26"/>
          <w:szCs w:val="26"/>
        </w:rPr>
        <w:t>.</w:t>
      </w:r>
      <w:r w:rsidR="00DE6BA0" w:rsidRPr="00301792">
        <w:rPr>
          <w:sz w:val="26"/>
          <w:szCs w:val="26"/>
        </w:rPr>
        <w:t xml:space="preserve"> La decarbonizzazione viene invece</w:t>
      </w:r>
      <w:r w:rsidR="00864AFC">
        <w:rPr>
          <w:sz w:val="26"/>
          <w:szCs w:val="26"/>
        </w:rPr>
        <w:t xml:space="preserve"> supportata</w:t>
      </w:r>
      <w:r w:rsidR="00516E12">
        <w:rPr>
          <w:sz w:val="26"/>
          <w:szCs w:val="26"/>
        </w:rPr>
        <w:t xml:space="preserve"> </w:t>
      </w:r>
      <w:r w:rsidR="00DE6BA0" w:rsidRPr="00301792">
        <w:rPr>
          <w:sz w:val="26"/>
          <w:szCs w:val="26"/>
        </w:rPr>
        <w:t>dalla penetrazione dei carburanti liquidi e gassosi low carbon che nel 2024</w:t>
      </w:r>
      <w:r w:rsidR="00864AFC">
        <w:rPr>
          <w:sz w:val="26"/>
          <w:szCs w:val="26"/>
        </w:rPr>
        <w:t xml:space="preserve">, </w:t>
      </w:r>
      <w:r w:rsidR="00AD5F81" w:rsidRPr="00301792">
        <w:rPr>
          <w:sz w:val="26"/>
          <w:szCs w:val="26"/>
        </w:rPr>
        <w:t>in potere energetico</w:t>
      </w:r>
      <w:r w:rsidR="00864AFC">
        <w:rPr>
          <w:sz w:val="26"/>
          <w:szCs w:val="26"/>
        </w:rPr>
        <w:t xml:space="preserve"> </w:t>
      </w:r>
      <w:r w:rsidR="00DE6BA0" w:rsidRPr="00301792">
        <w:rPr>
          <w:sz w:val="26"/>
          <w:szCs w:val="26"/>
        </w:rPr>
        <w:t>hanno rappresentato il 12,5% dei carburanti consumati.</w:t>
      </w:r>
    </w:p>
    <w:p w14:paraId="6B68CB3E" w14:textId="18EE5E40" w:rsidR="005A3B7D" w:rsidRPr="00301792" w:rsidRDefault="00DE6BA0" w:rsidP="00301792">
      <w:pPr>
        <w:ind w:right="1700"/>
        <w:jc w:val="both"/>
        <w:rPr>
          <w:sz w:val="26"/>
          <w:szCs w:val="26"/>
        </w:rPr>
      </w:pPr>
      <w:r w:rsidRPr="00301792">
        <w:rPr>
          <w:sz w:val="26"/>
          <w:szCs w:val="26"/>
        </w:rPr>
        <w:t xml:space="preserve">Prosegue </w:t>
      </w:r>
      <w:r w:rsidR="005A3B7D" w:rsidRPr="00301792">
        <w:rPr>
          <w:sz w:val="26"/>
          <w:szCs w:val="26"/>
        </w:rPr>
        <w:t xml:space="preserve">l’ibridizzazione del parco auto, </w:t>
      </w:r>
      <w:r w:rsidRPr="00301792">
        <w:rPr>
          <w:sz w:val="26"/>
          <w:szCs w:val="26"/>
        </w:rPr>
        <w:t xml:space="preserve">tendenza </w:t>
      </w:r>
      <w:r w:rsidR="00B34443" w:rsidRPr="00301792">
        <w:rPr>
          <w:sz w:val="26"/>
          <w:szCs w:val="26"/>
        </w:rPr>
        <w:t xml:space="preserve">che si può </w:t>
      </w:r>
      <w:r w:rsidR="003F1ECB" w:rsidRPr="00301792">
        <w:rPr>
          <w:sz w:val="26"/>
          <w:szCs w:val="26"/>
        </w:rPr>
        <w:t>osservare</w:t>
      </w:r>
      <w:r w:rsidR="00B34443" w:rsidRPr="00301792">
        <w:rPr>
          <w:sz w:val="26"/>
          <w:szCs w:val="26"/>
        </w:rPr>
        <w:t xml:space="preserve"> anche nei principali Paesi europei che tuttavia presentano p</w:t>
      </w:r>
      <w:r w:rsidR="00530189" w:rsidRPr="00301792">
        <w:rPr>
          <w:sz w:val="26"/>
          <w:szCs w:val="26"/>
        </w:rPr>
        <w:t>rofonde differ</w:t>
      </w:r>
      <w:r w:rsidR="003F1ECB" w:rsidRPr="00301792">
        <w:rPr>
          <w:sz w:val="26"/>
          <w:szCs w:val="26"/>
        </w:rPr>
        <w:t>enze</w:t>
      </w:r>
      <w:r w:rsidR="00944A4B" w:rsidRPr="00301792">
        <w:rPr>
          <w:sz w:val="26"/>
          <w:szCs w:val="26"/>
        </w:rPr>
        <w:t xml:space="preserve"> sia per quanto riguarda la penetrazione delle BEV, molto più </w:t>
      </w:r>
      <w:r w:rsidR="00944A4B" w:rsidRPr="00301792">
        <w:rPr>
          <w:sz w:val="26"/>
          <w:szCs w:val="26"/>
        </w:rPr>
        <w:lastRenderedPageBreak/>
        <w:t xml:space="preserve">marcata nei Paesi del Nord Europa, </w:t>
      </w:r>
      <w:r w:rsidR="004F391B">
        <w:rPr>
          <w:sz w:val="26"/>
          <w:szCs w:val="26"/>
        </w:rPr>
        <w:t>sia</w:t>
      </w:r>
      <w:r w:rsidR="00C57902" w:rsidRPr="00301792">
        <w:rPr>
          <w:sz w:val="26"/>
          <w:szCs w:val="26"/>
        </w:rPr>
        <w:t xml:space="preserve"> delle alimentaz</w:t>
      </w:r>
      <w:r w:rsidR="001010ED" w:rsidRPr="00301792">
        <w:rPr>
          <w:sz w:val="26"/>
          <w:szCs w:val="26"/>
        </w:rPr>
        <w:t>ioni tradizionali</w:t>
      </w:r>
      <w:r w:rsidR="004F178B" w:rsidRPr="00301792">
        <w:rPr>
          <w:sz w:val="26"/>
          <w:szCs w:val="26"/>
        </w:rPr>
        <w:t xml:space="preserve">. In Germania, ad esempio, nel 2024 le </w:t>
      </w:r>
      <w:r w:rsidR="00676014" w:rsidRPr="00301792">
        <w:rPr>
          <w:sz w:val="26"/>
          <w:szCs w:val="26"/>
        </w:rPr>
        <w:t xml:space="preserve">immatricolazioni di </w:t>
      </w:r>
      <w:r w:rsidR="004F178B" w:rsidRPr="00301792">
        <w:rPr>
          <w:sz w:val="26"/>
          <w:szCs w:val="26"/>
        </w:rPr>
        <w:t xml:space="preserve">auto diesel </w:t>
      </w:r>
      <w:r w:rsidR="00A82834" w:rsidRPr="00301792">
        <w:rPr>
          <w:sz w:val="26"/>
          <w:szCs w:val="26"/>
        </w:rPr>
        <w:t xml:space="preserve">sono addirittura cresciute </w:t>
      </w:r>
      <w:r w:rsidR="00370A96" w:rsidRPr="00301792">
        <w:rPr>
          <w:sz w:val="26"/>
          <w:szCs w:val="26"/>
        </w:rPr>
        <w:t>del</w:t>
      </w:r>
      <w:r w:rsidR="001A1958" w:rsidRPr="00301792">
        <w:rPr>
          <w:sz w:val="26"/>
          <w:szCs w:val="26"/>
        </w:rPr>
        <w:t>l’</w:t>
      </w:r>
      <w:r w:rsidR="009770F4" w:rsidRPr="00301792">
        <w:rPr>
          <w:sz w:val="26"/>
          <w:szCs w:val="26"/>
        </w:rPr>
        <w:t>1,</w:t>
      </w:r>
      <w:r w:rsidR="00632209">
        <w:rPr>
          <w:sz w:val="26"/>
          <w:szCs w:val="26"/>
        </w:rPr>
        <w:t>4</w:t>
      </w:r>
      <w:r w:rsidR="00370A96" w:rsidRPr="00301792">
        <w:rPr>
          <w:sz w:val="26"/>
          <w:szCs w:val="26"/>
        </w:rPr>
        <w:t xml:space="preserve">% rispetto al 2023, mentre le BEV sono </w:t>
      </w:r>
      <w:r w:rsidR="00676014" w:rsidRPr="00301792">
        <w:rPr>
          <w:sz w:val="26"/>
          <w:szCs w:val="26"/>
        </w:rPr>
        <w:t>diminuite</w:t>
      </w:r>
      <w:r w:rsidR="00370A96" w:rsidRPr="00301792">
        <w:rPr>
          <w:sz w:val="26"/>
          <w:szCs w:val="26"/>
        </w:rPr>
        <w:t xml:space="preserve"> di </w:t>
      </w:r>
      <w:r w:rsidR="001A1958" w:rsidRPr="00301792">
        <w:rPr>
          <w:sz w:val="26"/>
          <w:szCs w:val="26"/>
        </w:rPr>
        <w:t>quasi il 27</w:t>
      </w:r>
      <w:r w:rsidR="00370A96" w:rsidRPr="00301792">
        <w:rPr>
          <w:sz w:val="26"/>
          <w:szCs w:val="26"/>
        </w:rPr>
        <w:t>%.</w:t>
      </w:r>
    </w:p>
    <w:p w14:paraId="66295FED" w14:textId="4DD72025" w:rsidR="00661D4D" w:rsidRPr="00301792" w:rsidRDefault="00116EBC" w:rsidP="00301792">
      <w:pPr>
        <w:ind w:right="1700"/>
        <w:jc w:val="both"/>
        <w:rPr>
          <w:sz w:val="26"/>
          <w:szCs w:val="26"/>
        </w:rPr>
      </w:pPr>
      <w:r>
        <w:rPr>
          <w:b/>
          <w:bCs/>
          <w:noProof/>
          <w:sz w:val="26"/>
          <w:szCs w:val="26"/>
        </w:rPr>
        <mc:AlternateContent>
          <mc:Choice Requires="wps">
            <w:drawing>
              <wp:anchor distT="0" distB="0" distL="114300" distR="114300" simplePos="0" relativeHeight="251762688" behindDoc="0" locked="0" layoutInCell="1" allowOverlap="1" wp14:anchorId="0DF3AD32" wp14:editId="39719CD5">
                <wp:simplePos x="0" y="0"/>
                <wp:positionH relativeFrom="column">
                  <wp:posOffset>5374640</wp:posOffset>
                </wp:positionH>
                <wp:positionV relativeFrom="paragraph">
                  <wp:posOffset>51766</wp:posOffset>
                </wp:positionV>
                <wp:extent cx="1017270" cy="309880"/>
                <wp:effectExtent l="0" t="0" r="11430" b="13970"/>
                <wp:wrapNone/>
                <wp:docPr id="2128519709"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E23100" w14:textId="1C47E8B7" w:rsidR="008B4CF9" w:rsidRPr="00301792" w:rsidRDefault="008B4CF9" w:rsidP="008B4CF9">
                            <w:pPr>
                              <w:jc w:val="center"/>
                              <w:rPr>
                                <w:b/>
                                <w:bCs/>
                                <w:sz w:val="28"/>
                                <w:szCs w:val="28"/>
                              </w:rPr>
                            </w:pPr>
                            <w:r w:rsidRPr="00301792">
                              <w:rPr>
                                <w:b/>
                                <w:bCs/>
                                <w:sz w:val="28"/>
                                <w:szCs w:val="28"/>
                              </w:rPr>
                              <w:t xml:space="preserve">Slide </w:t>
                            </w:r>
                            <w:r>
                              <w:rPr>
                                <w:b/>
                                <w:bCs/>
                                <w:sz w:val="28"/>
                                <w:szCs w:val="28"/>
                              </w:rPr>
                              <w:t>15</w:t>
                            </w:r>
                          </w:p>
                          <w:p w14:paraId="637E9468" w14:textId="77777777" w:rsidR="008B4CF9" w:rsidRPr="00301792" w:rsidRDefault="008B4CF9" w:rsidP="008B4CF9">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3AD32" id="_x0000_s1042" style="position:absolute;left:0;text-align:left;margin-left:423.2pt;margin-top:4.1pt;width:80.1pt;height:2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" fillcolor="#0070c0" strokecolor="#0070c0" strokeweight="1pt">
                <v:textbox>
                  <w:txbxContent>
                    <w:p w14:paraId="3FE23100" w14:textId="1C47E8B7" w:rsidR="008B4CF9" w:rsidRPr="00301792" w:rsidRDefault="008B4CF9" w:rsidP="008B4CF9">
                      <w:pPr>
                        <w:jc w:val="center"/>
                        <w:rPr>
                          <w:b/>
                          <w:bCs/>
                          <w:sz w:val="28"/>
                          <w:szCs w:val="28"/>
                        </w:rPr>
                      </w:pPr>
                      <w:r w:rsidRPr="00301792">
                        <w:rPr>
                          <w:b/>
                          <w:bCs/>
                          <w:sz w:val="28"/>
                          <w:szCs w:val="28"/>
                        </w:rPr>
                        <w:t xml:space="preserve">Slide </w:t>
                      </w:r>
                      <w:r>
                        <w:rPr>
                          <w:b/>
                          <w:bCs/>
                          <w:sz w:val="28"/>
                          <w:szCs w:val="28"/>
                        </w:rPr>
                        <w:t>15</w:t>
                      </w:r>
                    </w:p>
                    <w:p w14:paraId="637E9468" w14:textId="77777777" w:rsidR="008B4CF9" w:rsidRPr="00301792" w:rsidRDefault="008B4CF9" w:rsidP="008B4CF9">
                      <w:pPr>
                        <w:jc w:val="center"/>
                        <w:rPr>
                          <w:b/>
                          <w:bCs/>
                          <w:sz w:val="28"/>
                          <w:szCs w:val="28"/>
                        </w:rPr>
                      </w:pPr>
                    </w:p>
                  </w:txbxContent>
                </v:textbox>
              </v:rect>
            </w:pict>
          </mc:Fallback>
        </mc:AlternateContent>
      </w:r>
      <w:r w:rsidR="008B4CF9">
        <w:rPr>
          <w:b/>
          <w:bCs/>
          <w:noProof/>
          <w:sz w:val="26"/>
          <w:szCs w:val="26"/>
        </w:rPr>
        <mc:AlternateContent>
          <mc:Choice Requires="wps">
            <w:drawing>
              <wp:anchor distT="0" distB="0" distL="114300" distR="114300" simplePos="0" relativeHeight="251764736" behindDoc="0" locked="0" layoutInCell="1" allowOverlap="1" wp14:anchorId="37971F31" wp14:editId="1BDD0508">
                <wp:simplePos x="0" y="0"/>
                <wp:positionH relativeFrom="column">
                  <wp:posOffset>5374640</wp:posOffset>
                </wp:positionH>
                <wp:positionV relativeFrom="paragraph">
                  <wp:posOffset>1277620</wp:posOffset>
                </wp:positionV>
                <wp:extent cx="1017270" cy="309880"/>
                <wp:effectExtent l="0" t="0" r="11430" b="13970"/>
                <wp:wrapNone/>
                <wp:docPr id="401153822"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BD4B17" w14:textId="0D5C02E5" w:rsidR="008B4CF9" w:rsidRPr="00301792" w:rsidRDefault="008B4CF9" w:rsidP="008B4CF9">
                            <w:pPr>
                              <w:jc w:val="center"/>
                              <w:rPr>
                                <w:b/>
                                <w:bCs/>
                                <w:sz w:val="28"/>
                                <w:szCs w:val="28"/>
                              </w:rPr>
                            </w:pPr>
                            <w:r w:rsidRPr="00301792">
                              <w:rPr>
                                <w:b/>
                                <w:bCs/>
                                <w:sz w:val="28"/>
                                <w:szCs w:val="28"/>
                              </w:rPr>
                              <w:t xml:space="preserve">Slide </w:t>
                            </w:r>
                            <w:r>
                              <w:rPr>
                                <w:b/>
                                <w:bCs/>
                                <w:sz w:val="28"/>
                                <w:szCs w:val="28"/>
                              </w:rPr>
                              <w:t>16</w:t>
                            </w:r>
                          </w:p>
                          <w:p w14:paraId="14F6A13A" w14:textId="77777777" w:rsidR="008B4CF9" w:rsidRPr="00301792" w:rsidRDefault="008B4CF9" w:rsidP="008B4CF9">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1F31" id="_x0000_s1043" style="position:absolute;left:0;text-align:left;margin-left:423.2pt;margin-top:100.6pt;width:80.1pt;height:2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GxiAIAAJs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" fillcolor="#0070c0" strokecolor="#0070c0" strokeweight="1pt">
                <v:textbox>
                  <w:txbxContent>
                    <w:p w14:paraId="4CBD4B17" w14:textId="0D5C02E5" w:rsidR="008B4CF9" w:rsidRPr="00301792" w:rsidRDefault="008B4CF9" w:rsidP="008B4CF9">
                      <w:pPr>
                        <w:jc w:val="center"/>
                        <w:rPr>
                          <w:b/>
                          <w:bCs/>
                          <w:sz w:val="28"/>
                          <w:szCs w:val="28"/>
                        </w:rPr>
                      </w:pPr>
                      <w:r w:rsidRPr="00301792">
                        <w:rPr>
                          <w:b/>
                          <w:bCs/>
                          <w:sz w:val="28"/>
                          <w:szCs w:val="28"/>
                        </w:rPr>
                        <w:t xml:space="preserve">Slide </w:t>
                      </w:r>
                      <w:r>
                        <w:rPr>
                          <w:b/>
                          <w:bCs/>
                          <w:sz w:val="28"/>
                          <w:szCs w:val="28"/>
                        </w:rPr>
                        <w:t>16</w:t>
                      </w:r>
                    </w:p>
                    <w:p w14:paraId="14F6A13A" w14:textId="77777777" w:rsidR="008B4CF9" w:rsidRPr="00301792" w:rsidRDefault="008B4CF9" w:rsidP="008B4CF9">
                      <w:pPr>
                        <w:jc w:val="center"/>
                        <w:rPr>
                          <w:b/>
                          <w:bCs/>
                          <w:sz w:val="28"/>
                          <w:szCs w:val="28"/>
                        </w:rPr>
                      </w:pPr>
                    </w:p>
                  </w:txbxContent>
                </v:textbox>
              </v:rect>
            </w:pict>
          </mc:Fallback>
        </mc:AlternateContent>
      </w:r>
      <w:r w:rsidR="00621148" w:rsidRPr="00301792">
        <w:rPr>
          <w:sz w:val="26"/>
          <w:szCs w:val="26"/>
        </w:rPr>
        <w:t xml:space="preserve">Per quanto riguarda le </w:t>
      </w:r>
      <w:r w:rsidR="00621148" w:rsidRPr="00301792">
        <w:rPr>
          <w:b/>
          <w:bCs/>
          <w:sz w:val="26"/>
          <w:szCs w:val="26"/>
        </w:rPr>
        <w:t>importazioni di greggio</w:t>
      </w:r>
      <w:r w:rsidR="00621148" w:rsidRPr="00301792">
        <w:rPr>
          <w:sz w:val="26"/>
          <w:szCs w:val="26"/>
        </w:rPr>
        <w:t>, nel 202</w:t>
      </w:r>
      <w:r w:rsidR="002C2CF2" w:rsidRPr="00301792">
        <w:rPr>
          <w:sz w:val="26"/>
          <w:szCs w:val="26"/>
        </w:rPr>
        <w:t xml:space="preserve">4 sono </w:t>
      </w:r>
      <w:r w:rsidR="00A043BE" w:rsidRPr="00301792">
        <w:rPr>
          <w:sz w:val="26"/>
          <w:szCs w:val="26"/>
        </w:rPr>
        <w:t>risultate in calo del</w:t>
      </w:r>
      <w:r w:rsidR="005653B9" w:rsidRPr="00301792">
        <w:rPr>
          <w:sz w:val="26"/>
          <w:szCs w:val="26"/>
        </w:rPr>
        <w:t>l’8,3%</w:t>
      </w:r>
      <w:r w:rsidR="00CB241A" w:rsidRPr="00301792">
        <w:rPr>
          <w:sz w:val="26"/>
          <w:szCs w:val="26"/>
        </w:rPr>
        <w:t>, risentendo anche delle criticità nello snodo di Hormuz e nel Canale di Suez. L</w:t>
      </w:r>
      <w:r w:rsidR="0020510D" w:rsidRPr="00301792">
        <w:rPr>
          <w:sz w:val="26"/>
          <w:szCs w:val="26"/>
        </w:rPr>
        <w:t>a Libia è tornata ad essere il nostro primo fornitore con un peso de</w:t>
      </w:r>
      <w:r w:rsidR="00B50842" w:rsidRPr="00301792">
        <w:rPr>
          <w:sz w:val="26"/>
          <w:szCs w:val="26"/>
        </w:rPr>
        <w:t>l 20,3%, seguita dall’Azerbaijan (16,6%) e</w:t>
      </w:r>
      <w:r w:rsidR="00EF057D" w:rsidRPr="00301792">
        <w:rPr>
          <w:sz w:val="26"/>
          <w:szCs w:val="26"/>
        </w:rPr>
        <w:t xml:space="preserve"> dal Kazakhistan (15%). </w:t>
      </w:r>
      <w:r w:rsidR="00BC4FB4" w:rsidRPr="00301792">
        <w:rPr>
          <w:sz w:val="26"/>
          <w:szCs w:val="26"/>
        </w:rPr>
        <w:t xml:space="preserve">Deciso progresso per gli arrivi dall’Africa che </w:t>
      </w:r>
      <w:r w:rsidR="00B26B22" w:rsidRPr="00301792">
        <w:rPr>
          <w:sz w:val="26"/>
          <w:szCs w:val="26"/>
        </w:rPr>
        <w:t>con un peso d</w:t>
      </w:r>
      <w:r w:rsidR="00622BC0" w:rsidRPr="00301792">
        <w:rPr>
          <w:sz w:val="26"/>
          <w:szCs w:val="26"/>
        </w:rPr>
        <w:t>i circa il 36%</w:t>
      </w:r>
      <w:r w:rsidR="00A75CC3" w:rsidRPr="00301792">
        <w:rPr>
          <w:sz w:val="26"/>
          <w:szCs w:val="26"/>
        </w:rPr>
        <w:t xml:space="preserve"> risulta essere la </w:t>
      </w:r>
      <w:r w:rsidR="00AA3B39">
        <w:rPr>
          <w:sz w:val="26"/>
          <w:szCs w:val="26"/>
        </w:rPr>
        <w:t xml:space="preserve">nostra </w:t>
      </w:r>
      <w:r w:rsidR="00A75CC3" w:rsidRPr="00301792">
        <w:rPr>
          <w:sz w:val="26"/>
          <w:szCs w:val="26"/>
        </w:rPr>
        <w:t>prima area di approvvigionamento</w:t>
      </w:r>
      <w:r w:rsidR="00B26B22" w:rsidRPr="00301792">
        <w:rPr>
          <w:sz w:val="26"/>
          <w:szCs w:val="26"/>
        </w:rPr>
        <w:t xml:space="preserve">. </w:t>
      </w:r>
      <w:r w:rsidR="008B606F" w:rsidRPr="00301792">
        <w:rPr>
          <w:sz w:val="26"/>
          <w:szCs w:val="26"/>
        </w:rPr>
        <w:t xml:space="preserve">Complessivamente </w:t>
      </w:r>
      <w:r w:rsidR="00F45DEC" w:rsidRPr="00301792">
        <w:rPr>
          <w:sz w:val="26"/>
          <w:szCs w:val="26"/>
        </w:rPr>
        <w:t xml:space="preserve">nel 2024 abbiamo importato 85 tipi </w:t>
      </w:r>
      <w:r w:rsidR="003054D9" w:rsidRPr="00301792">
        <w:rPr>
          <w:sz w:val="26"/>
          <w:szCs w:val="26"/>
        </w:rPr>
        <w:t>d</w:t>
      </w:r>
      <w:r w:rsidR="00F45DEC" w:rsidRPr="00301792">
        <w:rPr>
          <w:sz w:val="26"/>
          <w:szCs w:val="26"/>
        </w:rPr>
        <w:t xml:space="preserve">i greggio da 27 Paesi diversi </w:t>
      </w:r>
      <w:r w:rsidR="003E3CA3" w:rsidRPr="00301792">
        <w:rPr>
          <w:sz w:val="26"/>
          <w:szCs w:val="26"/>
        </w:rPr>
        <w:t xml:space="preserve">consolidando </w:t>
      </w:r>
      <w:r w:rsidR="00CC1605" w:rsidRPr="00301792">
        <w:rPr>
          <w:sz w:val="26"/>
          <w:szCs w:val="26"/>
        </w:rPr>
        <w:t xml:space="preserve">la tendenza </w:t>
      </w:r>
      <w:r w:rsidR="003E3CA3" w:rsidRPr="00301792">
        <w:rPr>
          <w:sz w:val="26"/>
          <w:szCs w:val="26"/>
        </w:rPr>
        <w:t>nella</w:t>
      </w:r>
      <w:r w:rsidR="00CC1605" w:rsidRPr="00301792">
        <w:rPr>
          <w:sz w:val="26"/>
          <w:szCs w:val="26"/>
        </w:rPr>
        <w:t xml:space="preserve"> diversificazione delle aree di provenienza</w:t>
      </w:r>
      <w:r w:rsidR="003E3CA3" w:rsidRPr="00301792">
        <w:rPr>
          <w:sz w:val="26"/>
          <w:szCs w:val="26"/>
        </w:rPr>
        <w:t>.</w:t>
      </w:r>
    </w:p>
    <w:p w14:paraId="1FEED801" w14:textId="4F1D25D0" w:rsidR="009B5603" w:rsidRPr="00301792" w:rsidRDefault="008B4CF9" w:rsidP="00301792">
      <w:pPr>
        <w:ind w:right="1700"/>
        <w:jc w:val="both"/>
        <w:rPr>
          <w:sz w:val="26"/>
          <w:szCs w:val="26"/>
        </w:rPr>
      </w:pPr>
      <w:r>
        <w:rPr>
          <w:b/>
          <w:bCs/>
          <w:noProof/>
          <w:sz w:val="26"/>
          <w:szCs w:val="26"/>
        </w:rPr>
        <mc:AlternateContent>
          <mc:Choice Requires="wps">
            <w:drawing>
              <wp:anchor distT="0" distB="0" distL="114300" distR="114300" simplePos="0" relativeHeight="251766784" behindDoc="0" locked="0" layoutInCell="1" allowOverlap="1" wp14:anchorId="519C2D70" wp14:editId="45844E21">
                <wp:simplePos x="0" y="0"/>
                <wp:positionH relativeFrom="column">
                  <wp:posOffset>5379720</wp:posOffset>
                </wp:positionH>
                <wp:positionV relativeFrom="paragraph">
                  <wp:posOffset>40309</wp:posOffset>
                </wp:positionV>
                <wp:extent cx="1017270" cy="309880"/>
                <wp:effectExtent l="0" t="0" r="11430" b="13970"/>
                <wp:wrapNone/>
                <wp:docPr id="12117088"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8EE71" w14:textId="2730AF98" w:rsidR="008B4CF9" w:rsidRPr="00301792" w:rsidRDefault="008B4CF9" w:rsidP="008B4CF9">
                            <w:pPr>
                              <w:jc w:val="center"/>
                              <w:rPr>
                                <w:b/>
                                <w:bCs/>
                                <w:sz w:val="28"/>
                                <w:szCs w:val="28"/>
                              </w:rPr>
                            </w:pPr>
                            <w:r w:rsidRPr="00301792">
                              <w:rPr>
                                <w:b/>
                                <w:bCs/>
                                <w:sz w:val="28"/>
                                <w:szCs w:val="28"/>
                              </w:rPr>
                              <w:t xml:space="preserve">Slide </w:t>
                            </w:r>
                            <w:r>
                              <w:rPr>
                                <w:b/>
                                <w:bCs/>
                                <w:sz w:val="28"/>
                                <w:szCs w:val="28"/>
                              </w:rPr>
                              <w:t>17</w:t>
                            </w:r>
                          </w:p>
                          <w:p w14:paraId="46A0675A" w14:textId="77777777" w:rsidR="008B4CF9" w:rsidRPr="00301792" w:rsidRDefault="008B4CF9" w:rsidP="008B4CF9">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C2D70" id="_x0000_s1044" style="position:absolute;left:0;text-align:left;margin-left:423.6pt;margin-top:3.15pt;width:80.1pt;height:2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" fillcolor="#0070c0" strokecolor="#0070c0" strokeweight="1pt">
                <v:textbox>
                  <w:txbxContent>
                    <w:p w14:paraId="79B8EE71" w14:textId="2730AF98" w:rsidR="008B4CF9" w:rsidRPr="00301792" w:rsidRDefault="008B4CF9" w:rsidP="008B4CF9">
                      <w:pPr>
                        <w:jc w:val="center"/>
                        <w:rPr>
                          <w:b/>
                          <w:bCs/>
                          <w:sz w:val="28"/>
                          <w:szCs w:val="28"/>
                        </w:rPr>
                      </w:pPr>
                      <w:r w:rsidRPr="00301792">
                        <w:rPr>
                          <w:b/>
                          <w:bCs/>
                          <w:sz w:val="28"/>
                          <w:szCs w:val="28"/>
                        </w:rPr>
                        <w:t xml:space="preserve">Slide </w:t>
                      </w:r>
                      <w:r>
                        <w:rPr>
                          <w:b/>
                          <w:bCs/>
                          <w:sz w:val="28"/>
                          <w:szCs w:val="28"/>
                        </w:rPr>
                        <w:t>17</w:t>
                      </w:r>
                    </w:p>
                    <w:p w14:paraId="46A0675A" w14:textId="77777777" w:rsidR="008B4CF9" w:rsidRPr="00301792" w:rsidRDefault="008B4CF9" w:rsidP="008B4CF9">
                      <w:pPr>
                        <w:jc w:val="center"/>
                        <w:rPr>
                          <w:b/>
                          <w:bCs/>
                          <w:sz w:val="28"/>
                          <w:szCs w:val="28"/>
                        </w:rPr>
                      </w:pPr>
                    </w:p>
                  </w:txbxContent>
                </v:textbox>
              </v:rect>
            </w:pict>
          </mc:Fallback>
        </mc:AlternateContent>
      </w:r>
      <w:r w:rsidR="00E100D1" w:rsidRPr="00301792">
        <w:rPr>
          <w:sz w:val="26"/>
          <w:szCs w:val="26"/>
        </w:rPr>
        <w:t xml:space="preserve">Ciò </w:t>
      </w:r>
      <w:r w:rsidR="00545BE1">
        <w:rPr>
          <w:sz w:val="26"/>
          <w:szCs w:val="26"/>
        </w:rPr>
        <w:t xml:space="preserve">riflette </w:t>
      </w:r>
      <w:r w:rsidR="00E100D1" w:rsidRPr="00301792">
        <w:rPr>
          <w:sz w:val="26"/>
          <w:szCs w:val="26"/>
        </w:rPr>
        <w:t xml:space="preserve">le </w:t>
      </w:r>
      <w:r w:rsidR="00545BE1">
        <w:rPr>
          <w:sz w:val="26"/>
          <w:szCs w:val="26"/>
        </w:rPr>
        <w:t xml:space="preserve">minori </w:t>
      </w:r>
      <w:r w:rsidR="00E100D1" w:rsidRPr="00301792">
        <w:rPr>
          <w:b/>
          <w:bCs/>
          <w:sz w:val="26"/>
          <w:szCs w:val="26"/>
        </w:rPr>
        <w:t xml:space="preserve">lavorazioni </w:t>
      </w:r>
      <w:r w:rsidR="00F0375F" w:rsidRPr="00301792">
        <w:rPr>
          <w:b/>
          <w:bCs/>
          <w:sz w:val="26"/>
          <w:szCs w:val="26"/>
        </w:rPr>
        <w:t>delle raffinerie</w:t>
      </w:r>
      <w:r w:rsidR="00F0375F" w:rsidRPr="00301792">
        <w:rPr>
          <w:sz w:val="26"/>
          <w:szCs w:val="26"/>
        </w:rPr>
        <w:t xml:space="preserve"> </w:t>
      </w:r>
      <w:r w:rsidR="00E100D1" w:rsidRPr="00301792">
        <w:rPr>
          <w:sz w:val="26"/>
          <w:szCs w:val="26"/>
        </w:rPr>
        <w:t xml:space="preserve">che </w:t>
      </w:r>
      <w:r w:rsidR="00E60EB5" w:rsidRPr="00301792">
        <w:rPr>
          <w:sz w:val="26"/>
          <w:szCs w:val="26"/>
        </w:rPr>
        <w:t>nel complesso sono ammontate a 66,2 milioni di tonnellate, in calo del 4,1% rispetto al 2023</w:t>
      </w:r>
      <w:r w:rsidR="005C74AC" w:rsidRPr="00301792">
        <w:rPr>
          <w:sz w:val="26"/>
          <w:szCs w:val="26"/>
        </w:rPr>
        <w:t xml:space="preserve"> e con un tasso di utilizzo degli impianti </w:t>
      </w:r>
      <w:r w:rsidR="003054D9" w:rsidRPr="00301792">
        <w:rPr>
          <w:sz w:val="26"/>
          <w:szCs w:val="26"/>
        </w:rPr>
        <w:t xml:space="preserve">sceso al 74% </w:t>
      </w:r>
      <w:r w:rsidR="008D5BA7" w:rsidRPr="00301792">
        <w:rPr>
          <w:sz w:val="26"/>
          <w:szCs w:val="26"/>
        </w:rPr>
        <w:t>dal 78% dello scorso anno</w:t>
      </w:r>
      <w:r w:rsidR="00EC5767" w:rsidRPr="00301792">
        <w:rPr>
          <w:sz w:val="26"/>
          <w:szCs w:val="26"/>
        </w:rPr>
        <w:t>.</w:t>
      </w:r>
      <w:r w:rsidR="000938A1" w:rsidRPr="00301792">
        <w:rPr>
          <w:sz w:val="26"/>
          <w:szCs w:val="26"/>
        </w:rPr>
        <w:t xml:space="preserve"> </w:t>
      </w:r>
      <w:r w:rsidR="00D13118" w:rsidRPr="00301792">
        <w:rPr>
          <w:sz w:val="26"/>
          <w:szCs w:val="26"/>
        </w:rPr>
        <w:t xml:space="preserve">Un risultato in larga parte dovuto </w:t>
      </w:r>
      <w:r w:rsidR="005E481C" w:rsidRPr="00301792">
        <w:rPr>
          <w:sz w:val="26"/>
          <w:szCs w:val="26"/>
        </w:rPr>
        <w:t>all’avvio della</w:t>
      </w:r>
      <w:r w:rsidR="00D13118" w:rsidRPr="00301792">
        <w:rPr>
          <w:sz w:val="26"/>
          <w:szCs w:val="26"/>
        </w:rPr>
        <w:t xml:space="preserve"> </w:t>
      </w:r>
      <w:r w:rsidR="005E481C" w:rsidRPr="00301792">
        <w:rPr>
          <w:sz w:val="26"/>
          <w:szCs w:val="26"/>
        </w:rPr>
        <w:t xml:space="preserve">trasformazione della </w:t>
      </w:r>
      <w:r w:rsidR="00D13118" w:rsidRPr="00301792">
        <w:rPr>
          <w:sz w:val="26"/>
          <w:szCs w:val="26"/>
        </w:rPr>
        <w:t>raffineria di Livorno in bioraffineria</w:t>
      </w:r>
      <w:r w:rsidR="00AE42E7" w:rsidRPr="00301792">
        <w:rPr>
          <w:sz w:val="26"/>
          <w:szCs w:val="26"/>
        </w:rPr>
        <w:t>.</w:t>
      </w:r>
    </w:p>
    <w:p w14:paraId="27DBCA9D" w14:textId="1AEDF326" w:rsidR="004B7EF2" w:rsidRPr="00301792" w:rsidRDefault="003A3424" w:rsidP="00301792">
      <w:pPr>
        <w:ind w:right="1700"/>
        <w:jc w:val="both"/>
        <w:rPr>
          <w:sz w:val="26"/>
          <w:szCs w:val="26"/>
        </w:rPr>
      </w:pPr>
      <w:r w:rsidRPr="00301792">
        <w:rPr>
          <w:sz w:val="26"/>
          <w:szCs w:val="26"/>
        </w:rPr>
        <w:t>Fl</w:t>
      </w:r>
      <w:r w:rsidR="004B7EF2" w:rsidRPr="00301792">
        <w:rPr>
          <w:sz w:val="26"/>
          <w:szCs w:val="26"/>
        </w:rPr>
        <w:t xml:space="preserve">essione per le </w:t>
      </w:r>
      <w:r w:rsidR="004B7EF2" w:rsidRPr="00301792">
        <w:rPr>
          <w:b/>
          <w:bCs/>
          <w:sz w:val="26"/>
          <w:szCs w:val="26"/>
        </w:rPr>
        <w:t>esportazioni di prodotti finiti</w:t>
      </w:r>
      <w:r w:rsidR="004B7EF2" w:rsidRPr="00301792">
        <w:rPr>
          <w:sz w:val="26"/>
          <w:szCs w:val="26"/>
        </w:rPr>
        <w:t xml:space="preserve"> ammontate nel complesso a 26,1 milioni di tonnellate (-8%). Nonostante il calo, ad emergere è, ancora una volta, l’accresciuto peso dell’Africa, con un rafforzamento della Libia e di diversi altri Stati africani destinatari d</w:t>
      </w:r>
      <w:r w:rsidR="00B65FD9" w:rsidRPr="00301792">
        <w:rPr>
          <w:sz w:val="26"/>
          <w:szCs w:val="26"/>
        </w:rPr>
        <w:t>e</w:t>
      </w:r>
      <w:r w:rsidR="004B7EF2" w:rsidRPr="00301792">
        <w:rPr>
          <w:sz w:val="26"/>
          <w:szCs w:val="26"/>
        </w:rPr>
        <w:t xml:space="preserve">i prodotti italiani (ben 24 in totale). Rimane abbastanza stabile il ruolo dell’Europa che è la principale area di sbocco </w:t>
      </w:r>
      <w:r w:rsidR="004B7EF2" w:rsidRPr="00545BE1">
        <w:rPr>
          <w:sz w:val="26"/>
          <w:szCs w:val="26"/>
        </w:rPr>
        <w:t>(</w:t>
      </w:r>
      <w:r w:rsidR="00C90305">
        <w:rPr>
          <w:sz w:val="26"/>
          <w:szCs w:val="26"/>
        </w:rPr>
        <w:t xml:space="preserve">la </w:t>
      </w:r>
      <w:r w:rsidR="004B7EF2" w:rsidRPr="00545BE1">
        <w:rPr>
          <w:sz w:val="26"/>
          <w:szCs w:val="26"/>
        </w:rPr>
        <w:t>Spagna si conferma prima destinazione assoluta),</w:t>
      </w:r>
      <w:r w:rsidR="004B7EF2" w:rsidRPr="00301792">
        <w:rPr>
          <w:sz w:val="26"/>
          <w:szCs w:val="26"/>
        </w:rPr>
        <w:t xml:space="preserve"> mentre si riducono di un quarto le esportazioni sia </w:t>
      </w:r>
      <w:r w:rsidR="00545BE1">
        <w:rPr>
          <w:sz w:val="26"/>
          <w:szCs w:val="26"/>
        </w:rPr>
        <w:t>negli Stati Uniti</w:t>
      </w:r>
      <w:r w:rsidR="004B7EF2" w:rsidRPr="00301792">
        <w:rPr>
          <w:sz w:val="26"/>
          <w:szCs w:val="26"/>
        </w:rPr>
        <w:t xml:space="preserve"> che nel Medio Oriente che contano sempre di più su una propria capacità di raffinazione in continuo sviluppo. </w:t>
      </w:r>
    </w:p>
    <w:p w14:paraId="5F7BBDD2" w14:textId="16F33362" w:rsidR="006A394B" w:rsidRPr="00301792" w:rsidRDefault="004B7EF2" w:rsidP="00301792">
      <w:pPr>
        <w:ind w:right="1700"/>
        <w:jc w:val="both"/>
        <w:rPr>
          <w:sz w:val="26"/>
          <w:szCs w:val="26"/>
        </w:rPr>
      </w:pPr>
      <w:r w:rsidRPr="00301792">
        <w:rPr>
          <w:sz w:val="26"/>
          <w:szCs w:val="26"/>
        </w:rPr>
        <w:t xml:space="preserve">Crescono invece del 2,5% le </w:t>
      </w:r>
      <w:r w:rsidRPr="00301792">
        <w:rPr>
          <w:b/>
          <w:bCs/>
          <w:sz w:val="26"/>
          <w:szCs w:val="26"/>
        </w:rPr>
        <w:t>importazioni di prodotti finiti</w:t>
      </w:r>
      <w:r w:rsidRPr="00301792">
        <w:rPr>
          <w:sz w:val="26"/>
          <w:szCs w:val="26"/>
        </w:rPr>
        <w:t>,</w:t>
      </w:r>
      <w:r w:rsidRPr="00301792">
        <w:rPr>
          <w:b/>
          <w:bCs/>
          <w:sz w:val="26"/>
          <w:szCs w:val="26"/>
        </w:rPr>
        <w:t xml:space="preserve"> </w:t>
      </w:r>
      <w:r w:rsidRPr="00301792">
        <w:rPr>
          <w:sz w:val="26"/>
          <w:szCs w:val="26"/>
        </w:rPr>
        <w:t>ammontate a circa</w:t>
      </w:r>
      <w:r w:rsidRPr="00301792">
        <w:rPr>
          <w:b/>
          <w:bCs/>
          <w:sz w:val="26"/>
          <w:szCs w:val="26"/>
        </w:rPr>
        <w:t xml:space="preserve"> </w:t>
      </w:r>
      <w:r w:rsidRPr="00301792">
        <w:rPr>
          <w:sz w:val="26"/>
          <w:szCs w:val="26"/>
        </w:rPr>
        <w:t>15,4 milioni di tonnellate. Rallentano le importazioni dai Paesi del Medio Oriente e dell’Asia che nel 2024 hanno risentito delle difficoltà nell’area del Mar Rosso, con cali più evidenti per Paesi come India ed Emirati Arabi. In crescita gli arrivi di gasolio dall’Arabia Saudita e dalle rotte più “sicure”, come quelle da Paesi europei (Grecia e Turchia in particolare).</w:t>
      </w:r>
      <w:r w:rsidR="003E578B" w:rsidRPr="00301792">
        <w:rPr>
          <w:sz w:val="26"/>
          <w:szCs w:val="26"/>
        </w:rPr>
        <w:t xml:space="preserve"> </w:t>
      </w:r>
      <w:r w:rsidR="004B7261" w:rsidRPr="00301792">
        <w:rPr>
          <w:sz w:val="26"/>
          <w:szCs w:val="26"/>
        </w:rPr>
        <w:t xml:space="preserve">In calo del 19% le importazioni di </w:t>
      </w:r>
      <w:r w:rsidR="004B7261" w:rsidRPr="00301792">
        <w:rPr>
          <w:b/>
          <w:bCs/>
          <w:sz w:val="26"/>
          <w:szCs w:val="26"/>
        </w:rPr>
        <w:t>biocarburanti</w:t>
      </w:r>
      <w:r w:rsidR="003C283E" w:rsidRPr="00301792">
        <w:rPr>
          <w:sz w:val="26"/>
          <w:szCs w:val="26"/>
        </w:rPr>
        <w:t xml:space="preserve"> a fronte di un aumento del 15</w:t>
      </w:r>
      <w:r w:rsidR="003E578B" w:rsidRPr="00301792">
        <w:rPr>
          <w:sz w:val="26"/>
          <w:szCs w:val="26"/>
        </w:rPr>
        <w:t>% nella produzione.</w:t>
      </w:r>
    </w:p>
    <w:p w14:paraId="4A181DCA" w14:textId="3A4883A0" w:rsidR="009B317F" w:rsidRPr="00D20B68" w:rsidRDefault="00D20B68" w:rsidP="00301792">
      <w:pPr>
        <w:ind w:right="1700"/>
        <w:jc w:val="both"/>
        <w:rPr>
          <w:sz w:val="26"/>
          <w:szCs w:val="26"/>
        </w:rPr>
      </w:pPr>
      <w:r>
        <w:rPr>
          <w:b/>
          <w:bCs/>
          <w:noProof/>
          <w:sz w:val="26"/>
          <w:szCs w:val="26"/>
        </w:rPr>
        <w:lastRenderedPageBreak/>
        <mc:AlternateContent>
          <mc:Choice Requires="wps">
            <w:drawing>
              <wp:anchor distT="0" distB="0" distL="114300" distR="114300" simplePos="0" relativeHeight="251768832" behindDoc="0" locked="0" layoutInCell="1" allowOverlap="1" wp14:anchorId="18CEB3B4" wp14:editId="0B8B3532">
                <wp:simplePos x="0" y="0"/>
                <wp:positionH relativeFrom="column">
                  <wp:posOffset>5346700</wp:posOffset>
                </wp:positionH>
                <wp:positionV relativeFrom="paragraph">
                  <wp:posOffset>42545</wp:posOffset>
                </wp:positionV>
                <wp:extent cx="1017270" cy="309880"/>
                <wp:effectExtent l="0" t="0" r="11430" b="13970"/>
                <wp:wrapNone/>
                <wp:docPr id="577932646"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AC6AC6" w14:textId="186183B0" w:rsidR="00D20B68" w:rsidRPr="00301792" w:rsidRDefault="00D20B68" w:rsidP="00D20B68">
                            <w:pPr>
                              <w:jc w:val="center"/>
                              <w:rPr>
                                <w:b/>
                                <w:bCs/>
                                <w:sz w:val="28"/>
                                <w:szCs w:val="28"/>
                              </w:rPr>
                            </w:pPr>
                            <w:r w:rsidRPr="00301792">
                              <w:rPr>
                                <w:b/>
                                <w:bCs/>
                                <w:sz w:val="28"/>
                                <w:szCs w:val="28"/>
                              </w:rPr>
                              <w:t xml:space="preserve">Slide </w:t>
                            </w:r>
                            <w:r>
                              <w:rPr>
                                <w:b/>
                                <w:bCs/>
                                <w:sz w:val="28"/>
                                <w:szCs w:val="28"/>
                              </w:rPr>
                              <w:t>18</w:t>
                            </w:r>
                          </w:p>
                          <w:p w14:paraId="3588F38A" w14:textId="77777777" w:rsidR="00D20B68" w:rsidRPr="00301792" w:rsidRDefault="00D20B68" w:rsidP="00D20B68">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B3B4" id="_x0000_s1045" style="position:absolute;left:0;text-align:left;margin-left:421pt;margin-top:3.35pt;width:80.1pt;height:2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" fillcolor="#0070c0" strokecolor="#0070c0" strokeweight="1pt">
                <v:textbox>
                  <w:txbxContent>
                    <w:p w14:paraId="14AC6AC6" w14:textId="186183B0" w:rsidR="00D20B68" w:rsidRPr="00301792" w:rsidRDefault="00D20B68" w:rsidP="00D20B68">
                      <w:pPr>
                        <w:jc w:val="center"/>
                        <w:rPr>
                          <w:b/>
                          <w:bCs/>
                          <w:sz w:val="28"/>
                          <w:szCs w:val="28"/>
                        </w:rPr>
                      </w:pPr>
                      <w:r w:rsidRPr="00301792">
                        <w:rPr>
                          <w:b/>
                          <w:bCs/>
                          <w:sz w:val="28"/>
                          <w:szCs w:val="28"/>
                        </w:rPr>
                        <w:t xml:space="preserve">Slide </w:t>
                      </w:r>
                      <w:r>
                        <w:rPr>
                          <w:b/>
                          <w:bCs/>
                          <w:sz w:val="28"/>
                          <w:szCs w:val="28"/>
                        </w:rPr>
                        <w:t>18</w:t>
                      </w:r>
                    </w:p>
                    <w:p w14:paraId="3588F38A" w14:textId="77777777" w:rsidR="00D20B68" w:rsidRPr="00301792" w:rsidRDefault="00D20B68" w:rsidP="00D20B68">
                      <w:pPr>
                        <w:jc w:val="center"/>
                        <w:rPr>
                          <w:b/>
                          <w:bCs/>
                          <w:sz w:val="28"/>
                          <w:szCs w:val="28"/>
                        </w:rPr>
                      </w:pPr>
                    </w:p>
                  </w:txbxContent>
                </v:textbox>
              </v:rect>
            </w:pict>
          </mc:Fallback>
        </mc:AlternateContent>
      </w:r>
      <w:r w:rsidR="009B317F" w:rsidRPr="00D20B68">
        <w:rPr>
          <w:sz w:val="26"/>
          <w:szCs w:val="26"/>
        </w:rPr>
        <w:t xml:space="preserve">In ripresa gli investimenti sugli asset della </w:t>
      </w:r>
      <w:r w:rsidR="009B317F" w:rsidRPr="006B099D">
        <w:rPr>
          <w:b/>
          <w:bCs/>
          <w:sz w:val="26"/>
          <w:szCs w:val="26"/>
        </w:rPr>
        <w:t>raffinazione</w:t>
      </w:r>
      <w:r w:rsidR="009B317F" w:rsidRPr="00D20B68">
        <w:rPr>
          <w:sz w:val="26"/>
          <w:szCs w:val="26"/>
        </w:rPr>
        <w:t xml:space="preserve"> sia per la loro graduale trasformazione alla produzione di </w:t>
      </w:r>
      <w:r w:rsidR="009B317F" w:rsidRPr="00961AE8">
        <w:rPr>
          <w:i/>
          <w:iCs/>
          <w:sz w:val="26"/>
          <w:szCs w:val="26"/>
        </w:rPr>
        <w:t>low carbon fuels</w:t>
      </w:r>
      <w:r w:rsidR="009B317F" w:rsidRPr="00D20B68">
        <w:rPr>
          <w:sz w:val="26"/>
          <w:szCs w:val="26"/>
        </w:rPr>
        <w:t>, sia per continuare a garantire l’efficienza e la sicurezza degli impianti tradizionali.</w:t>
      </w:r>
    </w:p>
    <w:p w14:paraId="79DD141F" w14:textId="275BEFD8" w:rsidR="003244C2" w:rsidRPr="00301792" w:rsidRDefault="00AE2DEC" w:rsidP="00301792">
      <w:pPr>
        <w:ind w:right="1700"/>
        <w:jc w:val="both"/>
        <w:rPr>
          <w:sz w:val="26"/>
          <w:szCs w:val="26"/>
        </w:rPr>
      </w:pPr>
      <w:r>
        <w:rPr>
          <w:b/>
          <w:bCs/>
          <w:noProof/>
          <w:sz w:val="26"/>
          <w:szCs w:val="26"/>
        </w:rPr>
        <mc:AlternateContent>
          <mc:Choice Requires="wps">
            <w:drawing>
              <wp:anchor distT="0" distB="0" distL="114300" distR="114300" simplePos="0" relativeHeight="251770880" behindDoc="0" locked="0" layoutInCell="1" allowOverlap="1" wp14:anchorId="406D317D" wp14:editId="48695385">
                <wp:simplePos x="0" y="0"/>
                <wp:positionH relativeFrom="column">
                  <wp:posOffset>5342890</wp:posOffset>
                </wp:positionH>
                <wp:positionV relativeFrom="paragraph">
                  <wp:posOffset>70154</wp:posOffset>
                </wp:positionV>
                <wp:extent cx="1017270" cy="309880"/>
                <wp:effectExtent l="0" t="0" r="11430" b="13970"/>
                <wp:wrapNone/>
                <wp:docPr id="1498557942"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D06EA62" w14:textId="687D7F2B" w:rsidR="00AE2DEC" w:rsidRPr="00301792" w:rsidRDefault="00AE2DEC" w:rsidP="00AE2DEC">
                            <w:pPr>
                              <w:jc w:val="center"/>
                              <w:rPr>
                                <w:b/>
                                <w:bCs/>
                                <w:sz w:val="28"/>
                                <w:szCs w:val="28"/>
                              </w:rPr>
                            </w:pPr>
                            <w:r w:rsidRPr="00301792">
                              <w:rPr>
                                <w:b/>
                                <w:bCs/>
                                <w:sz w:val="28"/>
                                <w:szCs w:val="28"/>
                              </w:rPr>
                              <w:t xml:space="preserve">Slide </w:t>
                            </w:r>
                            <w:r>
                              <w:rPr>
                                <w:b/>
                                <w:bCs/>
                                <w:sz w:val="28"/>
                                <w:szCs w:val="28"/>
                              </w:rPr>
                              <w:t>19</w:t>
                            </w:r>
                          </w:p>
                          <w:p w14:paraId="6D5A9315" w14:textId="77777777" w:rsidR="00AE2DEC" w:rsidRPr="00301792" w:rsidRDefault="00AE2DEC" w:rsidP="00AE2D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D317D" id="_x0000_s1046" style="position:absolute;left:0;text-align:left;margin-left:420.7pt;margin-top:5.5pt;width:80.1pt;height:2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" fillcolor="#0070c0" strokecolor="#0070c0" strokeweight="1pt">
                <v:textbox>
                  <w:txbxContent>
                    <w:p w14:paraId="5D06EA62" w14:textId="687D7F2B" w:rsidR="00AE2DEC" w:rsidRPr="00301792" w:rsidRDefault="00AE2DEC" w:rsidP="00AE2DEC">
                      <w:pPr>
                        <w:jc w:val="center"/>
                        <w:rPr>
                          <w:b/>
                          <w:bCs/>
                          <w:sz w:val="28"/>
                          <w:szCs w:val="28"/>
                        </w:rPr>
                      </w:pPr>
                      <w:r w:rsidRPr="00301792">
                        <w:rPr>
                          <w:b/>
                          <w:bCs/>
                          <w:sz w:val="28"/>
                          <w:szCs w:val="28"/>
                        </w:rPr>
                        <w:t xml:space="preserve">Slide </w:t>
                      </w:r>
                      <w:r>
                        <w:rPr>
                          <w:b/>
                          <w:bCs/>
                          <w:sz w:val="28"/>
                          <w:szCs w:val="28"/>
                        </w:rPr>
                        <w:t>19</w:t>
                      </w:r>
                    </w:p>
                    <w:p w14:paraId="6D5A9315" w14:textId="77777777" w:rsidR="00AE2DEC" w:rsidRPr="00301792" w:rsidRDefault="00AE2DEC" w:rsidP="00AE2DEC">
                      <w:pPr>
                        <w:jc w:val="center"/>
                        <w:rPr>
                          <w:b/>
                          <w:bCs/>
                          <w:sz w:val="28"/>
                          <w:szCs w:val="28"/>
                        </w:rPr>
                      </w:pPr>
                    </w:p>
                  </w:txbxContent>
                </v:textbox>
              </v:rect>
            </w:pict>
          </mc:Fallback>
        </mc:AlternateContent>
      </w:r>
      <w:r w:rsidR="00271A04" w:rsidRPr="00301792">
        <w:rPr>
          <w:sz w:val="26"/>
          <w:szCs w:val="26"/>
        </w:rPr>
        <w:t xml:space="preserve">In questo contesto si inserisce il tema della </w:t>
      </w:r>
      <w:r w:rsidR="00271A04" w:rsidRPr="00301792">
        <w:rPr>
          <w:b/>
          <w:bCs/>
          <w:sz w:val="26"/>
          <w:szCs w:val="26"/>
        </w:rPr>
        <w:t>distribuzione carburanti</w:t>
      </w:r>
      <w:r w:rsidR="00271A04" w:rsidRPr="00301792">
        <w:rPr>
          <w:sz w:val="26"/>
          <w:szCs w:val="26"/>
        </w:rPr>
        <w:t xml:space="preserve"> che </w:t>
      </w:r>
      <w:r w:rsidR="00C279C9" w:rsidRPr="00301792">
        <w:rPr>
          <w:sz w:val="26"/>
          <w:szCs w:val="26"/>
        </w:rPr>
        <w:t xml:space="preserve">negli ultimi anni ha visto crescere il numero dei marchi presenti, passati dai </w:t>
      </w:r>
      <w:r w:rsidR="00557F61" w:rsidRPr="00301792">
        <w:rPr>
          <w:sz w:val="26"/>
          <w:szCs w:val="26"/>
        </w:rPr>
        <w:t xml:space="preserve">210 del 2019 ai 310 attuali. </w:t>
      </w:r>
      <w:r w:rsidR="003E5788" w:rsidRPr="00301792">
        <w:rPr>
          <w:sz w:val="26"/>
          <w:szCs w:val="26"/>
        </w:rPr>
        <w:t xml:space="preserve">Una rete </w:t>
      </w:r>
      <w:r w:rsidR="00DD32FD" w:rsidRPr="00301792">
        <w:rPr>
          <w:sz w:val="26"/>
          <w:szCs w:val="26"/>
        </w:rPr>
        <w:t>sempre più polverizzata</w:t>
      </w:r>
      <w:r w:rsidR="00CD6795" w:rsidRPr="00301792">
        <w:rPr>
          <w:sz w:val="26"/>
          <w:szCs w:val="26"/>
        </w:rPr>
        <w:t xml:space="preserve"> e</w:t>
      </w:r>
      <w:r w:rsidR="00DD32FD" w:rsidRPr="00301792">
        <w:rPr>
          <w:sz w:val="26"/>
          <w:szCs w:val="26"/>
        </w:rPr>
        <w:t xml:space="preserve"> inefficiente considerato che il 20% circa ha un erogato inferiore ai 400.000 litri/anno di prodotto</w:t>
      </w:r>
      <w:r w:rsidR="0085075E" w:rsidRPr="00301792">
        <w:rPr>
          <w:sz w:val="26"/>
          <w:szCs w:val="26"/>
        </w:rPr>
        <w:t xml:space="preserve"> e solo il 3% ha erogati in linea con la media europea</w:t>
      </w:r>
      <w:r w:rsidR="009B317F" w:rsidRPr="00301792">
        <w:rPr>
          <w:sz w:val="26"/>
          <w:szCs w:val="26"/>
        </w:rPr>
        <w:t>.</w:t>
      </w:r>
    </w:p>
    <w:p w14:paraId="2735F904" w14:textId="4682008C" w:rsidR="006B5965" w:rsidRPr="00301792" w:rsidRDefault="00AE2DEC" w:rsidP="00301792">
      <w:pPr>
        <w:ind w:right="1700"/>
        <w:jc w:val="both"/>
        <w:rPr>
          <w:sz w:val="26"/>
          <w:szCs w:val="26"/>
        </w:rPr>
      </w:pPr>
      <w:r>
        <w:rPr>
          <w:b/>
          <w:bCs/>
          <w:noProof/>
          <w:sz w:val="26"/>
          <w:szCs w:val="26"/>
        </w:rPr>
        <mc:AlternateContent>
          <mc:Choice Requires="wps">
            <w:drawing>
              <wp:anchor distT="0" distB="0" distL="114300" distR="114300" simplePos="0" relativeHeight="251772928" behindDoc="0" locked="0" layoutInCell="1" allowOverlap="1" wp14:anchorId="16196479" wp14:editId="76CBB9B0">
                <wp:simplePos x="0" y="0"/>
                <wp:positionH relativeFrom="column">
                  <wp:posOffset>5342890</wp:posOffset>
                </wp:positionH>
                <wp:positionV relativeFrom="paragraph">
                  <wp:posOffset>38431</wp:posOffset>
                </wp:positionV>
                <wp:extent cx="1017270" cy="309880"/>
                <wp:effectExtent l="0" t="0" r="11430" b="13970"/>
                <wp:wrapNone/>
                <wp:docPr id="1450590369"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A2D81C" w14:textId="3A88897A" w:rsidR="00AE2DEC" w:rsidRPr="00301792" w:rsidRDefault="00AE2DEC" w:rsidP="00AE2DEC">
                            <w:pPr>
                              <w:jc w:val="center"/>
                              <w:rPr>
                                <w:b/>
                                <w:bCs/>
                                <w:sz w:val="28"/>
                                <w:szCs w:val="28"/>
                              </w:rPr>
                            </w:pPr>
                            <w:r w:rsidRPr="00301792">
                              <w:rPr>
                                <w:b/>
                                <w:bCs/>
                                <w:sz w:val="28"/>
                                <w:szCs w:val="28"/>
                              </w:rPr>
                              <w:t xml:space="preserve">Slide </w:t>
                            </w:r>
                            <w:r>
                              <w:rPr>
                                <w:b/>
                                <w:bCs/>
                                <w:sz w:val="28"/>
                                <w:szCs w:val="28"/>
                              </w:rPr>
                              <w:t>20</w:t>
                            </w:r>
                          </w:p>
                          <w:p w14:paraId="34499492" w14:textId="77777777" w:rsidR="00AE2DEC" w:rsidRPr="00301792" w:rsidRDefault="00AE2DEC" w:rsidP="00AE2D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96479" id="_x0000_s1047" style="position:absolute;left:0;text-align:left;margin-left:420.7pt;margin-top:3.05pt;width:80.1pt;height:2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" fillcolor="#0070c0" strokecolor="#0070c0" strokeweight="1pt">
                <v:textbox>
                  <w:txbxContent>
                    <w:p w14:paraId="5AA2D81C" w14:textId="3A88897A" w:rsidR="00AE2DEC" w:rsidRPr="00301792" w:rsidRDefault="00AE2DEC" w:rsidP="00AE2DEC">
                      <w:pPr>
                        <w:jc w:val="center"/>
                        <w:rPr>
                          <w:b/>
                          <w:bCs/>
                          <w:sz w:val="28"/>
                          <w:szCs w:val="28"/>
                        </w:rPr>
                      </w:pPr>
                      <w:r w:rsidRPr="00301792">
                        <w:rPr>
                          <w:b/>
                          <w:bCs/>
                          <w:sz w:val="28"/>
                          <w:szCs w:val="28"/>
                        </w:rPr>
                        <w:t xml:space="preserve">Slide </w:t>
                      </w:r>
                      <w:r>
                        <w:rPr>
                          <w:b/>
                          <w:bCs/>
                          <w:sz w:val="28"/>
                          <w:szCs w:val="28"/>
                        </w:rPr>
                        <w:t>20</w:t>
                      </w:r>
                    </w:p>
                    <w:p w14:paraId="34499492" w14:textId="77777777" w:rsidR="00AE2DEC" w:rsidRPr="00301792" w:rsidRDefault="00AE2DEC" w:rsidP="00AE2DEC">
                      <w:pPr>
                        <w:jc w:val="center"/>
                        <w:rPr>
                          <w:b/>
                          <w:bCs/>
                          <w:sz w:val="28"/>
                          <w:szCs w:val="28"/>
                        </w:rPr>
                      </w:pPr>
                    </w:p>
                  </w:txbxContent>
                </v:textbox>
              </v:rect>
            </w:pict>
          </mc:Fallback>
        </mc:AlternateContent>
      </w:r>
      <w:r w:rsidR="003244C2" w:rsidRPr="00301792">
        <w:rPr>
          <w:sz w:val="26"/>
          <w:szCs w:val="26"/>
        </w:rPr>
        <w:t>I</w:t>
      </w:r>
      <w:r w:rsidR="00EA37FB" w:rsidRPr="00301792">
        <w:rPr>
          <w:sz w:val="26"/>
          <w:szCs w:val="26"/>
        </w:rPr>
        <w:t xml:space="preserve"> </w:t>
      </w:r>
      <w:r w:rsidR="0053473F" w:rsidRPr="00301792">
        <w:rPr>
          <w:b/>
          <w:bCs/>
          <w:sz w:val="26"/>
          <w:szCs w:val="26"/>
        </w:rPr>
        <w:t xml:space="preserve">prezzi dei carburanti </w:t>
      </w:r>
      <w:r w:rsidR="00BC27B7" w:rsidRPr="00301792">
        <w:rPr>
          <w:b/>
          <w:bCs/>
          <w:sz w:val="26"/>
          <w:szCs w:val="26"/>
        </w:rPr>
        <w:t>alla pompa</w:t>
      </w:r>
      <w:r w:rsidR="002A32F3">
        <w:rPr>
          <w:sz w:val="26"/>
          <w:szCs w:val="26"/>
        </w:rPr>
        <w:t xml:space="preserve"> </w:t>
      </w:r>
      <w:r w:rsidR="003244C2" w:rsidRPr="00A72C82">
        <w:rPr>
          <w:sz w:val="26"/>
          <w:szCs w:val="26"/>
        </w:rPr>
        <w:t xml:space="preserve">nel 2024 </w:t>
      </w:r>
      <w:r w:rsidR="00CD6795" w:rsidRPr="00A72C82">
        <w:rPr>
          <w:sz w:val="26"/>
          <w:szCs w:val="26"/>
        </w:rPr>
        <w:t xml:space="preserve">hanno toccato </w:t>
      </w:r>
      <w:r w:rsidR="00E57748" w:rsidRPr="00A72C82">
        <w:rPr>
          <w:sz w:val="26"/>
          <w:szCs w:val="26"/>
        </w:rPr>
        <w:t xml:space="preserve">ad ottobre </w:t>
      </w:r>
      <w:r w:rsidR="00CD6795" w:rsidRPr="00A72C82">
        <w:rPr>
          <w:sz w:val="26"/>
          <w:szCs w:val="26"/>
        </w:rPr>
        <w:t>i minimi</w:t>
      </w:r>
      <w:r w:rsidR="00E57748" w:rsidRPr="00A72C82">
        <w:rPr>
          <w:sz w:val="26"/>
          <w:szCs w:val="26"/>
        </w:rPr>
        <w:t xml:space="preserve"> degli ultimi 24 mesi</w:t>
      </w:r>
      <w:r w:rsidR="00CD6795" w:rsidRPr="00A72C82">
        <w:rPr>
          <w:sz w:val="26"/>
          <w:szCs w:val="26"/>
        </w:rPr>
        <w:t>, con u</w:t>
      </w:r>
      <w:r w:rsidR="00CD6795" w:rsidRPr="00301792">
        <w:rPr>
          <w:sz w:val="26"/>
          <w:szCs w:val="26"/>
        </w:rPr>
        <w:t xml:space="preserve">na media annua </w:t>
      </w:r>
      <w:r w:rsidR="00BC27B7" w:rsidRPr="00301792">
        <w:rPr>
          <w:sz w:val="26"/>
          <w:szCs w:val="26"/>
        </w:rPr>
        <w:t xml:space="preserve">pari a 1,822 euro/litro per la benzina </w:t>
      </w:r>
      <w:r w:rsidR="00D94C75" w:rsidRPr="00301792">
        <w:rPr>
          <w:sz w:val="26"/>
          <w:szCs w:val="26"/>
        </w:rPr>
        <w:t xml:space="preserve">e 1,718 per il gasolio, </w:t>
      </w:r>
      <w:r w:rsidR="00F12630" w:rsidRPr="00301792">
        <w:rPr>
          <w:sz w:val="26"/>
          <w:szCs w:val="26"/>
        </w:rPr>
        <w:t>pari ad</w:t>
      </w:r>
      <w:r w:rsidR="00B83638" w:rsidRPr="00301792">
        <w:rPr>
          <w:sz w:val="26"/>
          <w:szCs w:val="26"/>
        </w:rPr>
        <w:t xml:space="preserve"> un calo compreso tra i 5 e gli 8 centesimi euro/litro</w:t>
      </w:r>
      <w:r w:rsidR="00F12630" w:rsidRPr="00301792">
        <w:rPr>
          <w:sz w:val="26"/>
          <w:szCs w:val="26"/>
        </w:rPr>
        <w:t xml:space="preserve"> rispetto al 2023</w:t>
      </w:r>
      <w:r w:rsidR="00D53ACC" w:rsidRPr="00301792">
        <w:rPr>
          <w:sz w:val="26"/>
          <w:szCs w:val="26"/>
        </w:rPr>
        <w:t>, in linea con le tendenze dei mercati internazionali</w:t>
      </w:r>
      <w:r w:rsidR="00BE0203" w:rsidRPr="00301792">
        <w:rPr>
          <w:sz w:val="26"/>
          <w:szCs w:val="26"/>
        </w:rPr>
        <w:t xml:space="preserve">. </w:t>
      </w:r>
      <w:r w:rsidR="00162FA1" w:rsidRPr="00301792">
        <w:rPr>
          <w:sz w:val="26"/>
          <w:szCs w:val="26"/>
        </w:rPr>
        <w:t xml:space="preserve">Il minore prezzo dei carburanti ha </w:t>
      </w:r>
      <w:r w:rsidR="003E578B" w:rsidRPr="00301792">
        <w:rPr>
          <w:sz w:val="26"/>
          <w:szCs w:val="26"/>
        </w:rPr>
        <w:t>permesso</w:t>
      </w:r>
      <w:r w:rsidR="006477A5" w:rsidRPr="00301792">
        <w:rPr>
          <w:sz w:val="26"/>
          <w:szCs w:val="26"/>
        </w:rPr>
        <w:t xml:space="preserve"> </w:t>
      </w:r>
      <w:r w:rsidR="00162FA1" w:rsidRPr="00301792">
        <w:rPr>
          <w:sz w:val="26"/>
          <w:szCs w:val="26"/>
        </w:rPr>
        <w:t xml:space="preserve">un risparmio per </w:t>
      </w:r>
      <w:r w:rsidR="003E578B" w:rsidRPr="00301792">
        <w:rPr>
          <w:sz w:val="26"/>
          <w:szCs w:val="26"/>
        </w:rPr>
        <w:t>gli</w:t>
      </w:r>
      <w:r w:rsidR="00162FA1" w:rsidRPr="00301792">
        <w:rPr>
          <w:sz w:val="26"/>
          <w:szCs w:val="26"/>
        </w:rPr>
        <w:t xml:space="preserve"> automobilisti </w:t>
      </w:r>
      <w:r w:rsidR="003E578B" w:rsidRPr="00301792">
        <w:rPr>
          <w:sz w:val="26"/>
          <w:szCs w:val="26"/>
        </w:rPr>
        <w:t>di circa</w:t>
      </w:r>
      <w:r w:rsidR="00875A7A" w:rsidRPr="00301792">
        <w:rPr>
          <w:sz w:val="26"/>
          <w:szCs w:val="26"/>
        </w:rPr>
        <w:t xml:space="preserve"> </w:t>
      </w:r>
      <w:r w:rsidR="006B1A45" w:rsidRPr="00301792">
        <w:rPr>
          <w:sz w:val="26"/>
          <w:szCs w:val="26"/>
        </w:rPr>
        <w:t xml:space="preserve">2,7 </w:t>
      </w:r>
      <w:r w:rsidR="0068029A" w:rsidRPr="00301792">
        <w:rPr>
          <w:sz w:val="26"/>
          <w:szCs w:val="26"/>
        </w:rPr>
        <w:t xml:space="preserve">miliardi </w:t>
      </w:r>
      <w:r w:rsidR="00162FA1" w:rsidRPr="00301792">
        <w:rPr>
          <w:sz w:val="26"/>
          <w:szCs w:val="26"/>
        </w:rPr>
        <w:t xml:space="preserve">di </w:t>
      </w:r>
      <w:r w:rsidR="00875A7A" w:rsidRPr="00301792">
        <w:rPr>
          <w:sz w:val="26"/>
          <w:szCs w:val="26"/>
        </w:rPr>
        <w:t>e</w:t>
      </w:r>
      <w:r w:rsidR="00162FA1" w:rsidRPr="00301792">
        <w:rPr>
          <w:sz w:val="26"/>
          <w:szCs w:val="26"/>
        </w:rPr>
        <w:t>uro</w:t>
      </w:r>
      <w:r w:rsidR="003E578B" w:rsidRPr="00301792">
        <w:rPr>
          <w:sz w:val="26"/>
          <w:szCs w:val="26"/>
        </w:rPr>
        <w:t>,</w:t>
      </w:r>
      <w:r w:rsidR="00162FA1" w:rsidRPr="00301792">
        <w:rPr>
          <w:sz w:val="26"/>
          <w:szCs w:val="26"/>
        </w:rPr>
        <w:t xml:space="preserve"> </w:t>
      </w:r>
      <w:r w:rsidR="0068029A" w:rsidRPr="00301792">
        <w:rPr>
          <w:sz w:val="26"/>
          <w:szCs w:val="26"/>
        </w:rPr>
        <w:t xml:space="preserve">pari a 103 </w:t>
      </w:r>
      <w:r w:rsidR="00875A7A" w:rsidRPr="00301792">
        <w:rPr>
          <w:sz w:val="26"/>
          <w:szCs w:val="26"/>
        </w:rPr>
        <w:t>e</w:t>
      </w:r>
      <w:r w:rsidR="00162FA1" w:rsidRPr="00301792">
        <w:rPr>
          <w:sz w:val="26"/>
          <w:szCs w:val="26"/>
        </w:rPr>
        <w:t xml:space="preserve">uro </w:t>
      </w:r>
      <w:r w:rsidR="00AF4F0B" w:rsidRPr="00301792">
        <w:rPr>
          <w:sz w:val="26"/>
          <w:szCs w:val="26"/>
        </w:rPr>
        <w:t xml:space="preserve">in media </w:t>
      </w:r>
      <w:r w:rsidR="00162FA1" w:rsidRPr="00301792">
        <w:rPr>
          <w:sz w:val="26"/>
          <w:szCs w:val="26"/>
        </w:rPr>
        <w:t>a famiglia</w:t>
      </w:r>
      <w:r w:rsidR="0068029A" w:rsidRPr="00301792">
        <w:rPr>
          <w:sz w:val="26"/>
          <w:szCs w:val="26"/>
        </w:rPr>
        <w:t>.</w:t>
      </w:r>
    </w:p>
    <w:p w14:paraId="1EE10B09" w14:textId="518ABEDE" w:rsidR="003450C3" w:rsidRPr="00301792" w:rsidRDefault="00AE2DEC" w:rsidP="00301792">
      <w:pPr>
        <w:ind w:right="1700"/>
        <w:jc w:val="both"/>
        <w:rPr>
          <w:sz w:val="26"/>
          <w:szCs w:val="26"/>
        </w:rPr>
      </w:pPr>
      <w:r>
        <w:rPr>
          <w:b/>
          <w:bCs/>
          <w:noProof/>
          <w:sz w:val="26"/>
          <w:szCs w:val="26"/>
        </w:rPr>
        <mc:AlternateContent>
          <mc:Choice Requires="wps">
            <w:drawing>
              <wp:anchor distT="0" distB="0" distL="114300" distR="114300" simplePos="0" relativeHeight="251774976" behindDoc="0" locked="0" layoutInCell="1" allowOverlap="1" wp14:anchorId="5D9A9AAF" wp14:editId="08E8A854">
                <wp:simplePos x="0" y="0"/>
                <wp:positionH relativeFrom="column">
                  <wp:posOffset>5342890</wp:posOffset>
                </wp:positionH>
                <wp:positionV relativeFrom="paragraph">
                  <wp:posOffset>11099</wp:posOffset>
                </wp:positionV>
                <wp:extent cx="1017270" cy="309880"/>
                <wp:effectExtent l="0" t="0" r="11430" b="13970"/>
                <wp:wrapNone/>
                <wp:docPr id="180456513"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EE97C" w14:textId="52563638" w:rsidR="00AE2DEC" w:rsidRPr="00301792" w:rsidRDefault="00AE2DEC" w:rsidP="00AE2DEC">
                            <w:pPr>
                              <w:jc w:val="center"/>
                              <w:rPr>
                                <w:b/>
                                <w:bCs/>
                                <w:sz w:val="28"/>
                                <w:szCs w:val="28"/>
                              </w:rPr>
                            </w:pPr>
                            <w:r w:rsidRPr="00301792">
                              <w:rPr>
                                <w:b/>
                                <w:bCs/>
                                <w:sz w:val="28"/>
                                <w:szCs w:val="28"/>
                              </w:rPr>
                              <w:t xml:space="preserve">Slide </w:t>
                            </w:r>
                            <w:r>
                              <w:rPr>
                                <w:b/>
                                <w:bCs/>
                                <w:sz w:val="28"/>
                                <w:szCs w:val="28"/>
                              </w:rPr>
                              <w:t>21</w:t>
                            </w:r>
                          </w:p>
                          <w:p w14:paraId="0E1FFD90" w14:textId="77777777" w:rsidR="00AE2DEC" w:rsidRPr="00301792" w:rsidRDefault="00AE2DEC" w:rsidP="00AE2D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A9AAF" id="_x0000_s1048" style="position:absolute;left:0;text-align:left;margin-left:420.7pt;margin-top:.85pt;width:80.1pt;height:2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" fillcolor="#0070c0" strokecolor="#0070c0" strokeweight="1pt">
                <v:textbox>
                  <w:txbxContent>
                    <w:p w14:paraId="230EE97C" w14:textId="52563638" w:rsidR="00AE2DEC" w:rsidRPr="00301792" w:rsidRDefault="00AE2DEC" w:rsidP="00AE2DEC">
                      <w:pPr>
                        <w:jc w:val="center"/>
                        <w:rPr>
                          <w:b/>
                          <w:bCs/>
                          <w:sz w:val="28"/>
                          <w:szCs w:val="28"/>
                        </w:rPr>
                      </w:pPr>
                      <w:r w:rsidRPr="00301792">
                        <w:rPr>
                          <w:b/>
                          <w:bCs/>
                          <w:sz w:val="28"/>
                          <w:szCs w:val="28"/>
                        </w:rPr>
                        <w:t xml:space="preserve">Slide </w:t>
                      </w:r>
                      <w:r>
                        <w:rPr>
                          <w:b/>
                          <w:bCs/>
                          <w:sz w:val="28"/>
                          <w:szCs w:val="28"/>
                        </w:rPr>
                        <w:t>21</w:t>
                      </w:r>
                    </w:p>
                    <w:p w14:paraId="0E1FFD90" w14:textId="77777777" w:rsidR="00AE2DEC" w:rsidRPr="00301792" w:rsidRDefault="00AE2DEC" w:rsidP="00AE2DEC">
                      <w:pPr>
                        <w:jc w:val="center"/>
                        <w:rPr>
                          <w:b/>
                          <w:bCs/>
                          <w:sz w:val="28"/>
                          <w:szCs w:val="28"/>
                        </w:rPr>
                      </w:pPr>
                    </w:p>
                  </w:txbxContent>
                </v:textbox>
              </v:rect>
            </w:pict>
          </mc:Fallback>
        </mc:AlternateContent>
      </w:r>
      <w:r w:rsidR="007903AD" w:rsidRPr="00301792">
        <w:rPr>
          <w:sz w:val="26"/>
          <w:szCs w:val="26"/>
        </w:rPr>
        <w:t xml:space="preserve">A livello di </w:t>
      </w:r>
      <w:r w:rsidR="007903AD" w:rsidRPr="00301792">
        <w:rPr>
          <w:b/>
          <w:bCs/>
          <w:sz w:val="26"/>
          <w:szCs w:val="26"/>
        </w:rPr>
        <w:t>prezzo industriale</w:t>
      </w:r>
      <w:r w:rsidR="007903AD" w:rsidRPr="00301792">
        <w:rPr>
          <w:sz w:val="26"/>
          <w:szCs w:val="26"/>
        </w:rPr>
        <w:t>, cioè al netto delle tasse, anche nel 2024 si conferma un</w:t>
      </w:r>
      <w:r w:rsidR="00651A42" w:rsidRPr="00301792">
        <w:rPr>
          <w:sz w:val="26"/>
          <w:szCs w:val="26"/>
        </w:rPr>
        <w:t xml:space="preserve">o stacco negativo </w:t>
      </w:r>
      <w:r w:rsidR="00162FA1" w:rsidRPr="00301792">
        <w:rPr>
          <w:sz w:val="26"/>
          <w:szCs w:val="26"/>
        </w:rPr>
        <w:t xml:space="preserve">verso gli altri </w:t>
      </w:r>
      <w:r w:rsidR="00E74F8C" w:rsidRPr="00301792">
        <w:rPr>
          <w:sz w:val="26"/>
          <w:szCs w:val="26"/>
        </w:rPr>
        <w:t>P</w:t>
      </w:r>
      <w:r w:rsidR="00162FA1" w:rsidRPr="00301792">
        <w:rPr>
          <w:sz w:val="26"/>
          <w:szCs w:val="26"/>
        </w:rPr>
        <w:t>aesi europe</w:t>
      </w:r>
      <w:r w:rsidR="00D915E0" w:rsidRPr="00301792">
        <w:rPr>
          <w:sz w:val="26"/>
          <w:szCs w:val="26"/>
        </w:rPr>
        <w:t>i</w:t>
      </w:r>
      <w:r w:rsidR="00162FA1" w:rsidRPr="00301792">
        <w:rPr>
          <w:sz w:val="26"/>
          <w:szCs w:val="26"/>
        </w:rPr>
        <w:t xml:space="preserve"> </w:t>
      </w:r>
      <w:r w:rsidR="00651A42" w:rsidRPr="00301792">
        <w:rPr>
          <w:sz w:val="26"/>
          <w:szCs w:val="26"/>
        </w:rPr>
        <w:t xml:space="preserve">pari in media ponderata </w:t>
      </w:r>
      <w:r w:rsidR="002444FC" w:rsidRPr="00301792">
        <w:rPr>
          <w:sz w:val="26"/>
          <w:szCs w:val="26"/>
        </w:rPr>
        <w:t>a 2,1 centesimi euro/litro.</w:t>
      </w:r>
    </w:p>
    <w:p w14:paraId="399CC98A" w14:textId="41F8BE46" w:rsidR="00043608" w:rsidRDefault="00AE2DEC" w:rsidP="00301792">
      <w:pPr>
        <w:ind w:right="1700"/>
        <w:jc w:val="both"/>
        <w:rPr>
          <w:sz w:val="26"/>
          <w:szCs w:val="26"/>
        </w:rPr>
      </w:pPr>
      <w:r>
        <w:rPr>
          <w:b/>
          <w:bCs/>
          <w:noProof/>
          <w:sz w:val="26"/>
          <w:szCs w:val="26"/>
        </w:rPr>
        <mc:AlternateContent>
          <mc:Choice Requires="wps">
            <w:drawing>
              <wp:anchor distT="0" distB="0" distL="114300" distR="114300" simplePos="0" relativeHeight="251777024" behindDoc="0" locked="0" layoutInCell="1" allowOverlap="1" wp14:anchorId="2A583856" wp14:editId="477A30D9">
                <wp:simplePos x="0" y="0"/>
                <wp:positionH relativeFrom="column">
                  <wp:posOffset>5342890</wp:posOffset>
                </wp:positionH>
                <wp:positionV relativeFrom="paragraph">
                  <wp:posOffset>69519</wp:posOffset>
                </wp:positionV>
                <wp:extent cx="1017270" cy="309880"/>
                <wp:effectExtent l="0" t="0" r="11430" b="13970"/>
                <wp:wrapNone/>
                <wp:docPr id="571832881"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A9C42" w14:textId="06011C71" w:rsidR="00AE2DEC" w:rsidRPr="00301792" w:rsidRDefault="00AE2DEC" w:rsidP="00AE2DEC">
                            <w:pPr>
                              <w:jc w:val="center"/>
                              <w:rPr>
                                <w:b/>
                                <w:bCs/>
                                <w:sz w:val="28"/>
                                <w:szCs w:val="28"/>
                              </w:rPr>
                            </w:pPr>
                            <w:r w:rsidRPr="00301792">
                              <w:rPr>
                                <w:b/>
                                <w:bCs/>
                                <w:sz w:val="28"/>
                                <w:szCs w:val="28"/>
                              </w:rPr>
                              <w:t xml:space="preserve">Slide </w:t>
                            </w:r>
                            <w:r>
                              <w:rPr>
                                <w:b/>
                                <w:bCs/>
                                <w:sz w:val="28"/>
                                <w:szCs w:val="28"/>
                              </w:rPr>
                              <w:t>22</w:t>
                            </w:r>
                          </w:p>
                          <w:p w14:paraId="3EF96B2A" w14:textId="77777777" w:rsidR="00AE2DEC" w:rsidRPr="00301792" w:rsidRDefault="00AE2DEC" w:rsidP="00AE2D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83856" id="_x0000_s1049" style="position:absolute;left:0;text-align:left;margin-left:420.7pt;margin-top:5.45pt;width:80.1pt;height:2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" fillcolor="#0070c0" strokecolor="#0070c0" strokeweight="1pt">
                <v:textbox>
                  <w:txbxContent>
                    <w:p w14:paraId="326A9C42" w14:textId="06011C71" w:rsidR="00AE2DEC" w:rsidRPr="00301792" w:rsidRDefault="00AE2DEC" w:rsidP="00AE2DEC">
                      <w:pPr>
                        <w:jc w:val="center"/>
                        <w:rPr>
                          <w:b/>
                          <w:bCs/>
                          <w:sz w:val="28"/>
                          <w:szCs w:val="28"/>
                        </w:rPr>
                      </w:pPr>
                      <w:r w:rsidRPr="00301792">
                        <w:rPr>
                          <w:b/>
                          <w:bCs/>
                          <w:sz w:val="28"/>
                          <w:szCs w:val="28"/>
                        </w:rPr>
                        <w:t xml:space="preserve">Slide </w:t>
                      </w:r>
                      <w:r>
                        <w:rPr>
                          <w:b/>
                          <w:bCs/>
                          <w:sz w:val="28"/>
                          <w:szCs w:val="28"/>
                        </w:rPr>
                        <w:t>22</w:t>
                      </w:r>
                    </w:p>
                    <w:p w14:paraId="3EF96B2A" w14:textId="77777777" w:rsidR="00AE2DEC" w:rsidRPr="00301792" w:rsidRDefault="00AE2DEC" w:rsidP="00AE2DEC">
                      <w:pPr>
                        <w:jc w:val="center"/>
                        <w:rPr>
                          <w:b/>
                          <w:bCs/>
                          <w:sz w:val="28"/>
                          <w:szCs w:val="28"/>
                        </w:rPr>
                      </w:pPr>
                    </w:p>
                  </w:txbxContent>
                </v:textbox>
              </v:rect>
            </w:pict>
          </mc:Fallback>
        </mc:AlternateContent>
      </w:r>
      <w:r w:rsidR="00EC09A7" w:rsidRPr="00301792">
        <w:rPr>
          <w:sz w:val="26"/>
          <w:szCs w:val="26"/>
        </w:rPr>
        <w:t xml:space="preserve">La flessione delle quotazioni internazionali sia del petrolio che del gas hanno avuto un impatto positivo sulla </w:t>
      </w:r>
      <w:r w:rsidR="00EC09A7" w:rsidRPr="00301792">
        <w:rPr>
          <w:b/>
          <w:bCs/>
          <w:sz w:val="26"/>
          <w:szCs w:val="26"/>
        </w:rPr>
        <w:t>fattura energetica</w:t>
      </w:r>
      <w:r w:rsidR="00EC09A7" w:rsidRPr="00301792">
        <w:rPr>
          <w:sz w:val="26"/>
          <w:szCs w:val="26"/>
        </w:rPr>
        <w:t xml:space="preserve"> che nel 2024 </w:t>
      </w:r>
      <w:r w:rsidR="0044431D">
        <w:rPr>
          <w:sz w:val="26"/>
          <w:szCs w:val="26"/>
        </w:rPr>
        <w:t xml:space="preserve">si stima </w:t>
      </w:r>
      <w:r w:rsidR="00EC09A7" w:rsidRPr="00301792">
        <w:rPr>
          <w:sz w:val="26"/>
          <w:szCs w:val="26"/>
        </w:rPr>
        <w:t>a 48,5 miliardi di euro</w:t>
      </w:r>
      <w:r w:rsidR="00D51443" w:rsidRPr="00301792">
        <w:rPr>
          <w:sz w:val="26"/>
          <w:szCs w:val="26"/>
        </w:rPr>
        <w:t xml:space="preserve">, </w:t>
      </w:r>
      <w:r w:rsidR="00422B27" w:rsidRPr="00301792">
        <w:rPr>
          <w:sz w:val="26"/>
          <w:szCs w:val="26"/>
        </w:rPr>
        <w:t xml:space="preserve">inferiore di 18,6 miliardi (-28%) rispetto al 2023. </w:t>
      </w:r>
      <w:r w:rsidR="00E974A5" w:rsidRPr="00301792">
        <w:rPr>
          <w:sz w:val="26"/>
          <w:szCs w:val="26"/>
        </w:rPr>
        <w:t xml:space="preserve">Oltre l’80% di questa riduzione è dovuto </w:t>
      </w:r>
      <w:r w:rsidR="006B2743" w:rsidRPr="00301792">
        <w:rPr>
          <w:sz w:val="26"/>
          <w:szCs w:val="26"/>
        </w:rPr>
        <w:t xml:space="preserve">al minore esborso per gli approvvigionamenti di petrolio </w:t>
      </w:r>
      <w:r w:rsidR="003653E6" w:rsidRPr="00301792">
        <w:rPr>
          <w:sz w:val="26"/>
          <w:szCs w:val="26"/>
        </w:rPr>
        <w:t>e</w:t>
      </w:r>
      <w:r w:rsidR="006B2743" w:rsidRPr="00301792">
        <w:rPr>
          <w:sz w:val="26"/>
          <w:szCs w:val="26"/>
        </w:rPr>
        <w:t xml:space="preserve"> gas</w:t>
      </w:r>
      <w:r w:rsidR="003E75A5" w:rsidRPr="00301792">
        <w:rPr>
          <w:sz w:val="26"/>
          <w:szCs w:val="26"/>
        </w:rPr>
        <w:t>. Diminuit</w:t>
      </w:r>
      <w:r w:rsidR="00721131" w:rsidRPr="00301792">
        <w:rPr>
          <w:sz w:val="26"/>
          <w:szCs w:val="26"/>
        </w:rPr>
        <w:t xml:space="preserve">a anche la spesa per le importazioni di energia elettrica </w:t>
      </w:r>
      <w:r w:rsidR="003653E6" w:rsidRPr="00301792">
        <w:rPr>
          <w:sz w:val="26"/>
          <w:szCs w:val="26"/>
        </w:rPr>
        <w:t xml:space="preserve">(-26%) </w:t>
      </w:r>
      <w:r w:rsidR="00721131" w:rsidRPr="00301792">
        <w:rPr>
          <w:sz w:val="26"/>
          <w:szCs w:val="26"/>
        </w:rPr>
        <w:t xml:space="preserve">e </w:t>
      </w:r>
      <w:r w:rsidR="003653E6" w:rsidRPr="00301792">
        <w:rPr>
          <w:sz w:val="26"/>
          <w:szCs w:val="26"/>
        </w:rPr>
        <w:t xml:space="preserve">soprattutto quella </w:t>
      </w:r>
      <w:r w:rsidR="00721131" w:rsidRPr="00301792">
        <w:rPr>
          <w:sz w:val="26"/>
          <w:szCs w:val="26"/>
        </w:rPr>
        <w:t>per i combustibili solidi</w:t>
      </w:r>
      <w:r w:rsidR="003653E6" w:rsidRPr="00301792">
        <w:rPr>
          <w:sz w:val="26"/>
          <w:szCs w:val="26"/>
        </w:rPr>
        <w:t xml:space="preserve"> (-</w:t>
      </w:r>
      <w:r w:rsidR="00721131" w:rsidRPr="00301792">
        <w:rPr>
          <w:sz w:val="26"/>
          <w:szCs w:val="26"/>
        </w:rPr>
        <w:t>60%)</w:t>
      </w:r>
      <w:r w:rsidR="002D3B2F" w:rsidRPr="00301792">
        <w:rPr>
          <w:sz w:val="26"/>
          <w:szCs w:val="26"/>
        </w:rPr>
        <w:t>.</w:t>
      </w:r>
      <w:r w:rsidR="00894809" w:rsidRPr="00301792">
        <w:rPr>
          <w:sz w:val="26"/>
          <w:szCs w:val="26"/>
        </w:rPr>
        <w:t xml:space="preserve"> </w:t>
      </w:r>
      <w:r w:rsidR="00A66C12">
        <w:rPr>
          <w:sz w:val="26"/>
          <w:szCs w:val="26"/>
        </w:rPr>
        <w:t>Il peso sul Pil è attorno al 2,2%</w:t>
      </w:r>
      <w:r w:rsidR="00043608">
        <w:rPr>
          <w:sz w:val="26"/>
          <w:szCs w:val="26"/>
        </w:rPr>
        <w:t xml:space="preserve"> rispetto al 5,7% del 2022 quando superò i 144 miliardi di euro.</w:t>
      </w:r>
    </w:p>
    <w:p w14:paraId="62BFE84D" w14:textId="7EA8697B" w:rsidR="002D3B2F" w:rsidRPr="00301792" w:rsidRDefault="002D3B2F" w:rsidP="00301792">
      <w:pPr>
        <w:ind w:right="1700"/>
        <w:jc w:val="both"/>
        <w:rPr>
          <w:sz w:val="26"/>
          <w:szCs w:val="26"/>
        </w:rPr>
      </w:pPr>
      <w:r w:rsidRPr="00301792">
        <w:rPr>
          <w:sz w:val="26"/>
          <w:szCs w:val="26"/>
        </w:rPr>
        <w:t xml:space="preserve">Quanto alla </w:t>
      </w:r>
      <w:r w:rsidRPr="00301792">
        <w:rPr>
          <w:b/>
          <w:bCs/>
          <w:sz w:val="26"/>
          <w:szCs w:val="26"/>
        </w:rPr>
        <w:t>fattura petrolifera</w:t>
      </w:r>
      <w:r w:rsidRPr="00301792">
        <w:rPr>
          <w:sz w:val="26"/>
          <w:szCs w:val="26"/>
        </w:rPr>
        <w:t xml:space="preserve">, nel 2024 </w:t>
      </w:r>
      <w:r w:rsidR="0044431D">
        <w:rPr>
          <w:sz w:val="26"/>
          <w:szCs w:val="26"/>
        </w:rPr>
        <w:t>si stima</w:t>
      </w:r>
      <w:r w:rsidRPr="00301792">
        <w:rPr>
          <w:sz w:val="26"/>
          <w:szCs w:val="26"/>
        </w:rPr>
        <w:t xml:space="preserve"> a 21,2 miliardi di euro</w:t>
      </w:r>
      <w:r w:rsidR="00894809" w:rsidRPr="00301792">
        <w:rPr>
          <w:sz w:val="26"/>
          <w:szCs w:val="26"/>
        </w:rPr>
        <w:t xml:space="preserve">, </w:t>
      </w:r>
      <w:r w:rsidR="00397400" w:rsidRPr="00301792">
        <w:rPr>
          <w:sz w:val="26"/>
          <w:szCs w:val="26"/>
        </w:rPr>
        <w:t>con un</w:t>
      </w:r>
      <w:r w:rsidR="00894809" w:rsidRPr="00301792">
        <w:rPr>
          <w:sz w:val="26"/>
          <w:szCs w:val="26"/>
        </w:rPr>
        <w:t xml:space="preserve"> calo </w:t>
      </w:r>
      <w:r w:rsidR="00397400" w:rsidRPr="00301792">
        <w:rPr>
          <w:sz w:val="26"/>
          <w:szCs w:val="26"/>
        </w:rPr>
        <w:t>di 7,6 miliardi di euro (</w:t>
      </w:r>
      <w:r w:rsidR="00C76FEC" w:rsidRPr="00301792">
        <w:rPr>
          <w:sz w:val="26"/>
          <w:szCs w:val="26"/>
        </w:rPr>
        <w:t>-26%)</w:t>
      </w:r>
      <w:r w:rsidR="0074553C" w:rsidRPr="00301792">
        <w:rPr>
          <w:sz w:val="26"/>
          <w:szCs w:val="26"/>
        </w:rPr>
        <w:t>, per effetto della riduzione delle importazioni di greggio e delle quotazioni internazionali.</w:t>
      </w:r>
      <w:r w:rsidR="00C76FEC" w:rsidRPr="00301792">
        <w:rPr>
          <w:sz w:val="26"/>
          <w:szCs w:val="26"/>
        </w:rPr>
        <w:t xml:space="preserve"> </w:t>
      </w:r>
      <w:r w:rsidR="00043608">
        <w:rPr>
          <w:sz w:val="26"/>
          <w:szCs w:val="26"/>
        </w:rPr>
        <w:t xml:space="preserve">Il peso sul Pil </w:t>
      </w:r>
      <w:r w:rsidR="00522CAC">
        <w:rPr>
          <w:sz w:val="26"/>
          <w:szCs w:val="26"/>
        </w:rPr>
        <w:t>è dell’1% rispetto all’1,6% del 2022</w:t>
      </w:r>
    </w:p>
    <w:p w14:paraId="5D11EDB2" w14:textId="724E77E2" w:rsidR="00B3296C" w:rsidRPr="00AE2DEC" w:rsidRDefault="00AE2DEC" w:rsidP="00301792">
      <w:pPr>
        <w:ind w:right="1700"/>
        <w:jc w:val="both"/>
        <w:rPr>
          <w:b/>
          <w:bCs/>
          <w:sz w:val="26"/>
          <w:szCs w:val="26"/>
        </w:rPr>
      </w:pPr>
      <w:r>
        <w:rPr>
          <w:b/>
          <w:bCs/>
          <w:noProof/>
          <w:sz w:val="26"/>
          <w:szCs w:val="26"/>
        </w:rPr>
        <mc:AlternateContent>
          <mc:Choice Requires="wps">
            <w:drawing>
              <wp:anchor distT="0" distB="0" distL="114300" distR="114300" simplePos="0" relativeHeight="251779072" behindDoc="0" locked="0" layoutInCell="1" allowOverlap="1" wp14:anchorId="03A764B4" wp14:editId="46B30524">
                <wp:simplePos x="0" y="0"/>
                <wp:positionH relativeFrom="column">
                  <wp:posOffset>5346700</wp:posOffset>
                </wp:positionH>
                <wp:positionV relativeFrom="paragraph">
                  <wp:posOffset>48564</wp:posOffset>
                </wp:positionV>
                <wp:extent cx="1017270" cy="309880"/>
                <wp:effectExtent l="0" t="0" r="11430" b="13970"/>
                <wp:wrapNone/>
                <wp:docPr id="704437755" name="Rettangolo 6"/>
                <wp:cNvGraphicFramePr/>
                <a:graphic xmlns:a="http://schemas.openxmlformats.org/drawingml/2006/main">
                  <a:graphicData uri="http://schemas.microsoft.com/office/word/2010/wordprocessingShape">
                    <wps:wsp>
                      <wps:cNvSpPr/>
                      <wps:spPr>
                        <a:xfrm>
                          <a:off x="0" y="0"/>
                          <a:ext cx="1017270" cy="30988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ACC83B" w14:textId="1773E30D" w:rsidR="00AE2DEC" w:rsidRPr="00301792" w:rsidRDefault="00AE2DEC" w:rsidP="00AE2DEC">
                            <w:pPr>
                              <w:jc w:val="center"/>
                              <w:rPr>
                                <w:b/>
                                <w:bCs/>
                                <w:sz w:val="28"/>
                                <w:szCs w:val="28"/>
                              </w:rPr>
                            </w:pPr>
                            <w:r w:rsidRPr="00301792">
                              <w:rPr>
                                <w:b/>
                                <w:bCs/>
                                <w:sz w:val="28"/>
                                <w:szCs w:val="28"/>
                              </w:rPr>
                              <w:t xml:space="preserve">Slide </w:t>
                            </w:r>
                            <w:r>
                              <w:rPr>
                                <w:b/>
                                <w:bCs/>
                                <w:sz w:val="28"/>
                                <w:szCs w:val="28"/>
                              </w:rPr>
                              <w:t>23</w:t>
                            </w:r>
                          </w:p>
                          <w:p w14:paraId="468A6D94" w14:textId="77777777" w:rsidR="00AE2DEC" w:rsidRPr="00301792" w:rsidRDefault="00AE2DEC" w:rsidP="00AE2DEC">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764B4" id="_x0000_s1050" style="position:absolute;left:0;text-align:left;margin-left:421pt;margin-top:3.8pt;width:80.1pt;height:2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" fillcolor="#0070c0" strokecolor="#0070c0" strokeweight="1pt">
                <v:textbox>
                  <w:txbxContent>
                    <w:p w14:paraId="73ACC83B" w14:textId="1773E30D" w:rsidR="00AE2DEC" w:rsidRPr="00301792" w:rsidRDefault="00AE2DEC" w:rsidP="00AE2DEC">
                      <w:pPr>
                        <w:jc w:val="center"/>
                        <w:rPr>
                          <w:b/>
                          <w:bCs/>
                          <w:sz w:val="28"/>
                          <w:szCs w:val="28"/>
                        </w:rPr>
                      </w:pPr>
                      <w:r w:rsidRPr="00301792">
                        <w:rPr>
                          <w:b/>
                          <w:bCs/>
                          <w:sz w:val="28"/>
                          <w:szCs w:val="28"/>
                        </w:rPr>
                        <w:t xml:space="preserve">Slide </w:t>
                      </w:r>
                      <w:r>
                        <w:rPr>
                          <w:b/>
                          <w:bCs/>
                          <w:sz w:val="28"/>
                          <w:szCs w:val="28"/>
                        </w:rPr>
                        <w:t>23</w:t>
                      </w:r>
                    </w:p>
                    <w:p w14:paraId="468A6D94" w14:textId="77777777" w:rsidR="00AE2DEC" w:rsidRPr="00301792" w:rsidRDefault="00AE2DEC" w:rsidP="00AE2DEC">
                      <w:pPr>
                        <w:jc w:val="center"/>
                        <w:rPr>
                          <w:b/>
                          <w:bCs/>
                          <w:sz w:val="28"/>
                          <w:szCs w:val="28"/>
                        </w:rPr>
                      </w:pPr>
                    </w:p>
                  </w:txbxContent>
                </v:textbox>
              </v:rect>
            </w:pict>
          </mc:Fallback>
        </mc:AlternateContent>
      </w:r>
      <w:r w:rsidR="002A5331" w:rsidRPr="00301792">
        <w:rPr>
          <w:sz w:val="26"/>
          <w:szCs w:val="26"/>
        </w:rPr>
        <w:t xml:space="preserve">Il </w:t>
      </w:r>
      <w:r w:rsidR="002A5331" w:rsidRPr="00301792">
        <w:rPr>
          <w:b/>
          <w:bCs/>
          <w:sz w:val="26"/>
          <w:szCs w:val="26"/>
        </w:rPr>
        <w:t xml:space="preserve">gettito fiscale </w:t>
      </w:r>
      <w:r w:rsidR="00F14259" w:rsidRPr="00301792">
        <w:rPr>
          <w:b/>
          <w:bCs/>
          <w:sz w:val="26"/>
          <w:szCs w:val="26"/>
        </w:rPr>
        <w:t>degli oli minerali</w:t>
      </w:r>
      <w:r w:rsidR="00F14259" w:rsidRPr="00301792">
        <w:rPr>
          <w:sz w:val="26"/>
          <w:szCs w:val="26"/>
        </w:rPr>
        <w:t xml:space="preserve"> </w:t>
      </w:r>
      <w:r w:rsidR="002A5331" w:rsidRPr="00301792">
        <w:rPr>
          <w:sz w:val="26"/>
          <w:szCs w:val="26"/>
        </w:rPr>
        <w:t xml:space="preserve">nel 2024 </w:t>
      </w:r>
      <w:r w:rsidR="004A3312">
        <w:rPr>
          <w:sz w:val="26"/>
          <w:szCs w:val="26"/>
        </w:rPr>
        <w:t>si stima</w:t>
      </w:r>
      <w:r w:rsidR="00F14259" w:rsidRPr="00301792">
        <w:rPr>
          <w:sz w:val="26"/>
          <w:szCs w:val="26"/>
        </w:rPr>
        <w:t xml:space="preserve"> a circa 42 miliardi di euro, in aumento dello 0,9% </w:t>
      </w:r>
      <w:r w:rsidR="00165565">
        <w:rPr>
          <w:sz w:val="26"/>
          <w:szCs w:val="26"/>
        </w:rPr>
        <w:t xml:space="preserve">(+400 milioni di euro) </w:t>
      </w:r>
      <w:r w:rsidR="00F14259" w:rsidRPr="00301792">
        <w:rPr>
          <w:sz w:val="26"/>
          <w:szCs w:val="26"/>
        </w:rPr>
        <w:t>rispetto al 2023</w:t>
      </w:r>
      <w:r w:rsidR="006E3D34" w:rsidRPr="00301792">
        <w:rPr>
          <w:sz w:val="26"/>
          <w:szCs w:val="26"/>
        </w:rPr>
        <w:t>,</w:t>
      </w:r>
      <w:r w:rsidR="00F14259" w:rsidRPr="00301792">
        <w:rPr>
          <w:sz w:val="26"/>
          <w:szCs w:val="26"/>
        </w:rPr>
        <w:t xml:space="preserve"> </w:t>
      </w:r>
      <w:r w:rsidR="006E3D34" w:rsidRPr="00301792">
        <w:rPr>
          <w:sz w:val="26"/>
          <w:szCs w:val="26"/>
        </w:rPr>
        <w:t>quale risultante tra il maggiore gettito accise (+2,6%</w:t>
      </w:r>
      <w:r w:rsidR="00071454">
        <w:rPr>
          <w:sz w:val="26"/>
          <w:szCs w:val="26"/>
        </w:rPr>
        <w:t>, +700 milioni di euro</w:t>
      </w:r>
      <w:r w:rsidR="006E3D34" w:rsidRPr="00301792">
        <w:rPr>
          <w:sz w:val="26"/>
          <w:szCs w:val="26"/>
        </w:rPr>
        <w:t xml:space="preserve">) dato </w:t>
      </w:r>
      <w:r w:rsidR="009B6868">
        <w:rPr>
          <w:sz w:val="26"/>
          <w:szCs w:val="26"/>
        </w:rPr>
        <w:t>dal</w:t>
      </w:r>
      <w:r w:rsidR="006E3D34" w:rsidRPr="00301792">
        <w:rPr>
          <w:sz w:val="26"/>
          <w:szCs w:val="26"/>
        </w:rPr>
        <w:t xml:space="preserve">l’aumento dei consumi, in particolare di benzina, e il </w:t>
      </w:r>
      <w:r w:rsidR="00CA27D9" w:rsidRPr="00301792">
        <w:rPr>
          <w:sz w:val="26"/>
          <w:szCs w:val="26"/>
        </w:rPr>
        <w:t>minore gettito IVA (-2,1%</w:t>
      </w:r>
      <w:r w:rsidR="00071454">
        <w:rPr>
          <w:sz w:val="26"/>
          <w:szCs w:val="26"/>
        </w:rPr>
        <w:t>, -300 milioni di euro</w:t>
      </w:r>
      <w:r w:rsidR="00CA27D9" w:rsidRPr="00301792">
        <w:rPr>
          <w:sz w:val="26"/>
          <w:szCs w:val="26"/>
        </w:rPr>
        <w:t xml:space="preserve">) </w:t>
      </w:r>
      <w:r w:rsidR="00367981" w:rsidRPr="00301792">
        <w:rPr>
          <w:sz w:val="26"/>
          <w:szCs w:val="26"/>
        </w:rPr>
        <w:t>effetto dell</w:t>
      </w:r>
      <w:r w:rsidR="00157A85" w:rsidRPr="00301792">
        <w:rPr>
          <w:sz w:val="26"/>
          <w:szCs w:val="26"/>
        </w:rPr>
        <w:t>a discesa dei prezzi</w:t>
      </w:r>
      <w:r w:rsidR="00D62E5A" w:rsidRPr="00301792">
        <w:rPr>
          <w:sz w:val="26"/>
          <w:szCs w:val="26"/>
        </w:rPr>
        <w:t>.</w:t>
      </w:r>
    </w:p>
    <w:sectPr w:rsidR="00B3296C" w:rsidRPr="00AE2DEC" w:rsidSect="001E6F2F">
      <w:pgSz w:w="11906" w:h="16838"/>
      <w:pgMar w:top="1276" w:right="1134" w:bottom="1843" w:left="113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9335" w14:textId="77777777" w:rsidR="00230AFE" w:rsidRDefault="00230AFE" w:rsidP="00A725CB">
      <w:pPr>
        <w:spacing w:after="0" w:line="240" w:lineRule="auto"/>
      </w:pPr>
      <w:r>
        <w:separator/>
      </w:r>
    </w:p>
  </w:endnote>
  <w:endnote w:type="continuationSeparator" w:id="0">
    <w:p w14:paraId="718549AC" w14:textId="77777777" w:rsidR="00230AFE" w:rsidRDefault="00230AFE" w:rsidP="00A7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4221" w14:textId="57303A21" w:rsidR="001010BE" w:rsidRDefault="00E1629B" w:rsidP="006656DB">
    <w:pPr>
      <w:pStyle w:val="Pidipagina"/>
      <w:tabs>
        <w:tab w:val="clear" w:pos="4819"/>
      </w:tabs>
      <w:ind w:left="-1134"/>
    </w:pPr>
    <w:r>
      <w:rPr>
        <w:noProof/>
      </w:rPr>
      <mc:AlternateContent>
        <mc:Choice Requires="wps">
          <w:drawing>
            <wp:anchor distT="0" distB="0" distL="114300" distR="114300" simplePos="0" relativeHeight="251659264" behindDoc="0" locked="0" layoutInCell="1" allowOverlap="1" wp14:anchorId="7032D941" wp14:editId="274186AB">
              <wp:simplePos x="0" y="0"/>
              <wp:positionH relativeFrom="column">
                <wp:posOffset>6006713</wp:posOffset>
              </wp:positionH>
              <wp:positionV relativeFrom="paragraph">
                <wp:posOffset>217418</wp:posOffset>
              </wp:positionV>
              <wp:extent cx="357257" cy="266700"/>
              <wp:effectExtent l="0" t="0" r="0" b="0"/>
              <wp:wrapNone/>
              <wp:docPr id="33042160" name="Casella di testo 9"/>
              <wp:cNvGraphicFramePr/>
              <a:graphic xmlns:a="http://schemas.openxmlformats.org/drawingml/2006/main">
                <a:graphicData uri="http://schemas.microsoft.com/office/word/2010/wordprocessingShape">
                  <wps:wsp>
                    <wps:cNvSpPr txBox="1"/>
                    <wps:spPr>
                      <a:xfrm>
                        <a:off x="0" y="0"/>
                        <a:ext cx="357257" cy="266700"/>
                      </a:xfrm>
                      <a:prstGeom prst="rect">
                        <a:avLst/>
                      </a:prstGeom>
                      <a:noFill/>
                      <a:ln w="6350">
                        <a:noFill/>
                      </a:ln>
                    </wps:spPr>
                    <wps:txbx>
                      <w:txbxContent>
                        <w:p w14:paraId="0F8ECD29" w14:textId="551B4033" w:rsidR="00E1629B" w:rsidRPr="004B7EF2" w:rsidRDefault="00E1629B">
                          <w:pPr>
                            <w:rPr>
                              <w:rFonts w:ascii="Amasis MT Pro Black" w:hAnsi="Amasis MT Pro Black"/>
                              <w:color w:val="FFFFFF" w:themeColor="background1"/>
                              <w:sz w:val="20"/>
                              <w:szCs w:val="20"/>
                            </w:rPr>
                          </w:pPr>
                          <w:r w:rsidRPr="004B7EF2">
                            <w:rPr>
                              <w:rFonts w:ascii="Amasis MT Pro Black" w:hAnsi="Amasis MT Pro Black"/>
                              <w:color w:val="FFFFFF" w:themeColor="background1"/>
                              <w:sz w:val="20"/>
                              <w:szCs w:val="20"/>
                            </w:rPr>
                            <w:fldChar w:fldCharType="begin"/>
                          </w:r>
                          <w:r w:rsidRPr="004B7EF2">
                            <w:rPr>
                              <w:rFonts w:ascii="Amasis MT Pro Black" w:hAnsi="Amasis MT Pro Black"/>
                              <w:color w:val="FFFFFF" w:themeColor="background1"/>
                              <w:sz w:val="20"/>
                              <w:szCs w:val="20"/>
                            </w:rPr>
                            <w:instrText>PAGE   \* MERGEFORMAT</w:instrText>
                          </w:r>
                          <w:r w:rsidRPr="004B7EF2">
                            <w:rPr>
                              <w:rFonts w:ascii="Amasis MT Pro Black" w:hAnsi="Amasis MT Pro Black"/>
                              <w:color w:val="FFFFFF" w:themeColor="background1"/>
                              <w:sz w:val="20"/>
                              <w:szCs w:val="20"/>
                            </w:rPr>
                            <w:fldChar w:fldCharType="separate"/>
                          </w:r>
                          <w:r w:rsidRPr="004B7EF2">
                            <w:rPr>
                              <w:rFonts w:ascii="Amasis MT Pro Black" w:hAnsi="Amasis MT Pro Black"/>
                              <w:color w:val="FFFFFF" w:themeColor="background1"/>
                              <w:sz w:val="20"/>
                              <w:szCs w:val="20"/>
                            </w:rPr>
                            <w:t>1</w:t>
                          </w:r>
                          <w:r w:rsidRPr="004B7EF2">
                            <w:rPr>
                              <w:rFonts w:ascii="Amasis MT Pro Black" w:hAnsi="Amasis MT Pro Black"/>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32D941" id="_x0000_t202" coordsize="21600,21600" o:spt="202" path="m,l,21600r21600,l21600,xe">
              <v:stroke joinstyle="miter"/>
              <v:path gradientshapeok="t" o:connecttype="rect"/>
            </v:shapetype>
            <v:shape id="Casella di testo 9" o:spid="_x0000_s1051" type="#_x0000_t202" style="position:absolute;left:0;text-align:left;margin-left:472.95pt;margin-top:17.1pt;width:28.1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" filled="f" stroked="f" strokeweight=".5pt">
              <v:textbox>
                <w:txbxContent>
                  <w:p w14:paraId="0F8ECD29" w14:textId="551B4033" w:rsidR="00E1629B" w:rsidRPr="004B7EF2" w:rsidRDefault="00E1629B">
                    <w:pPr>
                      <w:rPr>
                        <w:rFonts w:ascii="Amasis MT Pro Black" w:hAnsi="Amasis MT Pro Black"/>
                        <w:color w:val="FFFFFF" w:themeColor="background1"/>
                        <w:sz w:val="20"/>
                        <w:szCs w:val="20"/>
                      </w:rPr>
                    </w:pPr>
                    <w:r w:rsidRPr="004B7EF2">
                      <w:rPr>
                        <w:rFonts w:ascii="Amasis MT Pro Black" w:hAnsi="Amasis MT Pro Black"/>
                        <w:color w:val="FFFFFF" w:themeColor="background1"/>
                        <w:sz w:val="20"/>
                        <w:szCs w:val="20"/>
                      </w:rPr>
                      <w:fldChar w:fldCharType="begin"/>
                    </w:r>
                    <w:r w:rsidRPr="004B7EF2">
                      <w:rPr>
                        <w:rFonts w:ascii="Amasis MT Pro Black" w:hAnsi="Amasis MT Pro Black"/>
                        <w:color w:val="FFFFFF" w:themeColor="background1"/>
                        <w:sz w:val="20"/>
                        <w:szCs w:val="20"/>
                      </w:rPr>
                      <w:instrText>PAGE   \* MERGEFORMAT</w:instrText>
                    </w:r>
                    <w:r w:rsidRPr="004B7EF2">
                      <w:rPr>
                        <w:rFonts w:ascii="Amasis MT Pro Black" w:hAnsi="Amasis MT Pro Black"/>
                        <w:color w:val="FFFFFF" w:themeColor="background1"/>
                        <w:sz w:val="20"/>
                        <w:szCs w:val="20"/>
                      </w:rPr>
                      <w:fldChar w:fldCharType="separate"/>
                    </w:r>
                    <w:r w:rsidRPr="004B7EF2">
                      <w:rPr>
                        <w:rFonts w:ascii="Amasis MT Pro Black" w:hAnsi="Amasis MT Pro Black"/>
                        <w:color w:val="FFFFFF" w:themeColor="background1"/>
                        <w:sz w:val="20"/>
                        <w:szCs w:val="20"/>
                      </w:rPr>
                      <w:t>1</w:t>
                    </w:r>
                    <w:r w:rsidRPr="004B7EF2">
                      <w:rPr>
                        <w:rFonts w:ascii="Amasis MT Pro Black" w:hAnsi="Amasis MT Pro Black"/>
                        <w:color w:val="FFFFFF" w:themeColor="background1"/>
                        <w:sz w:val="20"/>
                        <w:szCs w:val="20"/>
                      </w:rPr>
                      <w:fldChar w:fldCharType="end"/>
                    </w:r>
                  </w:p>
                </w:txbxContent>
              </v:textbox>
            </v:shape>
          </w:pict>
        </mc:Fallback>
      </mc:AlternateContent>
    </w:r>
    <w:r w:rsidR="003E60F1" w:rsidRPr="00E1629B">
      <w:rPr>
        <w:noProof/>
        <w:shd w:val="clear" w:color="auto" w:fill="FFFFFF" w:themeFill="background1"/>
      </w:rPr>
      <w:drawing>
        <wp:inline distT="0" distB="0" distL="0" distR="0" wp14:anchorId="7D3D3AE8" wp14:editId="33E9E941">
          <wp:extent cx="8207218" cy="708025"/>
          <wp:effectExtent l="0" t="0" r="0" b="0"/>
          <wp:docPr id="2499524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3055" cy="71197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8B8EC" w14:textId="77777777" w:rsidR="00230AFE" w:rsidRDefault="00230AFE" w:rsidP="00A725CB">
      <w:pPr>
        <w:spacing w:after="0" w:line="240" w:lineRule="auto"/>
      </w:pPr>
      <w:r>
        <w:separator/>
      </w:r>
    </w:p>
  </w:footnote>
  <w:footnote w:type="continuationSeparator" w:id="0">
    <w:p w14:paraId="43D1567A" w14:textId="77777777" w:rsidR="00230AFE" w:rsidRDefault="00230AFE" w:rsidP="00A7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B32"/>
    <w:multiLevelType w:val="hybridMultilevel"/>
    <w:tmpl w:val="B2CE0ACE"/>
    <w:lvl w:ilvl="0" w:tplc="7BD4E83A">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8D33476"/>
    <w:multiLevelType w:val="hybridMultilevel"/>
    <w:tmpl w:val="BE2AC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8005038">
    <w:abstractNumId w:val="0"/>
  </w:num>
  <w:num w:numId="2" w16cid:durableId="133865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CCA"/>
    <w:rsid w:val="00000D89"/>
    <w:rsid w:val="00004D23"/>
    <w:rsid w:val="00005A26"/>
    <w:rsid w:val="0001061C"/>
    <w:rsid w:val="00011F10"/>
    <w:rsid w:val="0001259E"/>
    <w:rsid w:val="00012855"/>
    <w:rsid w:val="000142FE"/>
    <w:rsid w:val="00016D2B"/>
    <w:rsid w:val="00020D14"/>
    <w:rsid w:val="0002415C"/>
    <w:rsid w:val="00025573"/>
    <w:rsid w:val="00026717"/>
    <w:rsid w:val="00026C3F"/>
    <w:rsid w:val="0002743B"/>
    <w:rsid w:val="000349D4"/>
    <w:rsid w:val="00035B1C"/>
    <w:rsid w:val="000362D4"/>
    <w:rsid w:val="0004294D"/>
    <w:rsid w:val="00043608"/>
    <w:rsid w:val="00045E3C"/>
    <w:rsid w:val="00052F43"/>
    <w:rsid w:val="0005403A"/>
    <w:rsid w:val="00066DC4"/>
    <w:rsid w:val="00071454"/>
    <w:rsid w:val="000727B0"/>
    <w:rsid w:val="00073960"/>
    <w:rsid w:val="00075E9E"/>
    <w:rsid w:val="000771FB"/>
    <w:rsid w:val="0008216A"/>
    <w:rsid w:val="000842FE"/>
    <w:rsid w:val="00092B4B"/>
    <w:rsid w:val="0009379E"/>
    <w:rsid w:val="000938A1"/>
    <w:rsid w:val="00095F6C"/>
    <w:rsid w:val="00096AC1"/>
    <w:rsid w:val="000A0D60"/>
    <w:rsid w:val="000A107C"/>
    <w:rsid w:val="000A3695"/>
    <w:rsid w:val="000A3B3D"/>
    <w:rsid w:val="000A4E0D"/>
    <w:rsid w:val="000B4C82"/>
    <w:rsid w:val="000D0027"/>
    <w:rsid w:val="000D02B8"/>
    <w:rsid w:val="000D1B4A"/>
    <w:rsid w:val="000E5629"/>
    <w:rsid w:val="000E6859"/>
    <w:rsid w:val="000F253E"/>
    <w:rsid w:val="000F2C36"/>
    <w:rsid w:val="000F6F8D"/>
    <w:rsid w:val="00100D2F"/>
    <w:rsid w:val="001010BE"/>
    <w:rsid w:val="001010ED"/>
    <w:rsid w:val="00103099"/>
    <w:rsid w:val="001042B0"/>
    <w:rsid w:val="001074F2"/>
    <w:rsid w:val="001075DF"/>
    <w:rsid w:val="0011206C"/>
    <w:rsid w:val="00116EBC"/>
    <w:rsid w:val="0011715C"/>
    <w:rsid w:val="00117F69"/>
    <w:rsid w:val="00120E51"/>
    <w:rsid w:val="00122084"/>
    <w:rsid w:val="00125966"/>
    <w:rsid w:val="00131734"/>
    <w:rsid w:val="0013283E"/>
    <w:rsid w:val="001373C9"/>
    <w:rsid w:val="00137AFF"/>
    <w:rsid w:val="001407C4"/>
    <w:rsid w:val="00145AA6"/>
    <w:rsid w:val="00147070"/>
    <w:rsid w:val="001502D2"/>
    <w:rsid w:val="001504E2"/>
    <w:rsid w:val="0015211F"/>
    <w:rsid w:val="001523AC"/>
    <w:rsid w:val="00156DF2"/>
    <w:rsid w:val="00157A85"/>
    <w:rsid w:val="00162FA1"/>
    <w:rsid w:val="001636A4"/>
    <w:rsid w:val="00165565"/>
    <w:rsid w:val="0017364D"/>
    <w:rsid w:val="00173BB2"/>
    <w:rsid w:val="0017482C"/>
    <w:rsid w:val="00176159"/>
    <w:rsid w:val="00176E02"/>
    <w:rsid w:val="00185AF6"/>
    <w:rsid w:val="00193E86"/>
    <w:rsid w:val="00195800"/>
    <w:rsid w:val="001A1958"/>
    <w:rsid w:val="001A5600"/>
    <w:rsid w:val="001A71ED"/>
    <w:rsid w:val="001B7912"/>
    <w:rsid w:val="001B7A4C"/>
    <w:rsid w:val="001C0A1E"/>
    <w:rsid w:val="001D0A40"/>
    <w:rsid w:val="001D0ABF"/>
    <w:rsid w:val="001D1131"/>
    <w:rsid w:val="001D1EFA"/>
    <w:rsid w:val="001D2BD1"/>
    <w:rsid w:val="001E6F2F"/>
    <w:rsid w:val="001F0804"/>
    <w:rsid w:val="001F13BF"/>
    <w:rsid w:val="001F3C89"/>
    <w:rsid w:val="001F5301"/>
    <w:rsid w:val="001F7400"/>
    <w:rsid w:val="001F758A"/>
    <w:rsid w:val="001F7E34"/>
    <w:rsid w:val="00201B48"/>
    <w:rsid w:val="0020510D"/>
    <w:rsid w:val="00205966"/>
    <w:rsid w:val="002107D4"/>
    <w:rsid w:val="00211628"/>
    <w:rsid w:val="00212283"/>
    <w:rsid w:val="00213610"/>
    <w:rsid w:val="002211C5"/>
    <w:rsid w:val="00221483"/>
    <w:rsid w:val="00223F6B"/>
    <w:rsid w:val="00224C12"/>
    <w:rsid w:val="002306A2"/>
    <w:rsid w:val="00230AFE"/>
    <w:rsid w:val="00234B25"/>
    <w:rsid w:val="002444FC"/>
    <w:rsid w:val="002563D7"/>
    <w:rsid w:val="00262A7C"/>
    <w:rsid w:val="00263367"/>
    <w:rsid w:val="00263A49"/>
    <w:rsid w:val="00266241"/>
    <w:rsid w:val="0027018A"/>
    <w:rsid w:val="00270B30"/>
    <w:rsid w:val="00271A04"/>
    <w:rsid w:val="00275710"/>
    <w:rsid w:val="00280B71"/>
    <w:rsid w:val="00284B31"/>
    <w:rsid w:val="0028559C"/>
    <w:rsid w:val="0028686D"/>
    <w:rsid w:val="00290BE0"/>
    <w:rsid w:val="002961C1"/>
    <w:rsid w:val="002A081A"/>
    <w:rsid w:val="002A0CCA"/>
    <w:rsid w:val="002A2F11"/>
    <w:rsid w:val="002A32F3"/>
    <w:rsid w:val="002A3A67"/>
    <w:rsid w:val="002A531E"/>
    <w:rsid w:val="002A5331"/>
    <w:rsid w:val="002B13F9"/>
    <w:rsid w:val="002B21A3"/>
    <w:rsid w:val="002B78B1"/>
    <w:rsid w:val="002C036D"/>
    <w:rsid w:val="002C22F6"/>
    <w:rsid w:val="002C2CF2"/>
    <w:rsid w:val="002C548C"/>
    <w:rsid w:val="002C597D"/>
    <w:rsid w:val="002C702F"/>
    <w:rsid w:val="002D3B2F"/>
    <w:rsid w:val="002D6372"/>
    <w:rsid w:val="002D7EFB"/>
    <w:rsid w:val="002E6ED4"/>
    <w:rsid w:val="002F0C43"/>
    <w:rsid w:val="002F1EB9"/>
    <w:rsid w:val="002F30DC"/>
    <w:rsid w:val="002F4A60"/>
    <w:rsid w:val="002F6479"/>
    <w:rsid w:val="0030017F"/>
    <w:rsid w:val="003002DD"/>
    <w:rsid w:val="00301792"/>
    <w:rsid w:val="003054D9"/>
    <w:rsid w:val="0031382C"/>
    <w:rsid w:val="00314109"/>
    <w:rsid w:val="00321449"/>
    <w:rsid w:val="003244C2"/>
    <w:rsid w:val="00325BA2"/>
    <w:rsid w:val="00331F9F"/>
    <w:rsid w:val="003348CF"/>
    <w:rsid w:val="0033494B"/>
    <w:rsid w:val="00336032"/>
    <w:rsid w:val="0033722F"/>
    <w:rsid w:val="00344374"/>
    <w:rsid w:val="003450C3"/>
    <w:rsid w:val="0034626F"/>
    <w:rsid w:val="00347B48"/>
    <w:rsid w:val="00353AA7"/>
    <w:rsid w:val="00356361"/>
    <w:rsid w:val="00362BED"/>
    <w:rsid w:val="00363ED7"/>
    <w:rsid w:val="003641C4"/>
    <w:rsid w:val="003653E6"/>
    <w:rsid w:val="003659EF"/>
    <w:rsid w:val="003669EE"/>
    <w:rsid w:val="00366E3C"/>
    <w:rsid w:val="00367981"/>
    <w:rsid w:val="00370A96"/>
    <w:rsid w:val="00370DB9"/>
    <w:rsid w:val="003718A5"/>
    <w:rsid w:val="00375A03"/>
    <w:rsid w:val="0037675E"/>
    <w:rsid w:val="00381226"/>
    <w:rsid w:val="0038569B"/>
    <w:rsid w:val="00386C63"/>
    <w:rsid w:val="00390E6D"/>
    <w:rsid w:val="00394C8E"/>
    <w:rsid w:val="00396E66"/>
    <w:rsid w:val="00397400"/>
    <w:rsid w:val="003A0862"/>
    <w:rsid w:val="003A090F"/>
    <w:rsid w:val="003A3424"/>
    <w:rsid w:val="003B0289"/>
    <w:rsid w:val="003B1D86"/>
    <w:rsid w:val="003B21D7"/>
    <w:rsid w:val="003C06C5"/>
    <w:rsid w:val="003C0E7D"/>
    <w:rsid w:val="003C283E"/>
    <w:rsid w:val="003C5C0E"/>
    <w:rsid w:val="003D0EDF"/>
    <w:rsid w:val="003D3972"/>
    <w:rsid w:val="003D5015"/>
    <w:rsid w:val="003E2F74"/>
    <w:rsid w:val="003E3CA3"/>
    <w:rsid w:val="003E5788"/>
    <w:rsid w:val="003E578B"/>
    <w:rsid w:val="003E60F1"/>
    <w:rsid w:val="003E75A5"/>
    <w:rsid w:val="003F1ECB"/>
    <w:rsid w:val="003F267D"/>
    <w:rsid w:val="003F2729"/>
    <w:rsid w:val="003F2EF3"/>
    <w:rsid w:val="003F5715"/>
    <w:rsid w:val="003F69DB"/>
    <w:rsid w:val="003F6AEC"/>
    <w:rsid w:val="00400AE6"/>
    <w:rsid w:val="00400CF1"/>
    <w:rsid w:val="0040645E"/>
    <w:rsid w:val="00412AB1"/>
    <w:rsid w:val="00422B27"/>
    <w:rsid w:val="00422D97"/>
    <w:rsid w:val="00424298"/>
    <w:rsid w:val="00424A54"/>
    <w:rsid w:val="004277FA"/>
    <w:rsid w:val="00430CE8"/>
    <w:rsid w:val="00435928"/>
    <w:rsid w:val="00436553"/>
    <w:rsid w:val="004423B8"/>
    <w:rsid w:val="0044431D"/>
    <w:rsid w:val="00444D7D"/>
    <w:rsid w:val="0045066D"/>
    <w:rsid w:val="004508C2"/>
    <w:rsid w:val="00452548"/>
    <w:rsid w:val="00452ECA"/>
    <w:rsid w:val="00454802"/>
    <w:rsid w:val="004549C0"/>
    <w:rsid w:val="00460843"/>
    <w:rsid w:val="004609BC"/>
    <w:rsid w:val="004618A1"/>
    <w:rsid w:val="004651FB"/>
    <w:rsid w:val="00466CC0"/>
    <w:rsid w:val="00472AD7"/>
    <w:rsid w:val="00472C7A"/>
    <w:rsid w:val="00473A8E"/>
    <w:rsid w:val="00473C36"/>
    <w:rsid w:val="00480373"/>
    <w:rsid w:val="00481BA8"/>
    <w:rsid w:val="00482877"/>
    <w:rsid w:val="00483284"/>
    <w:rsid w:val="0048527D"/>
    <w:rsid w:val="00486ABB"/>
    <w:rsid w:val="0049504D"/>
    <w:rsid w:val="004962F9"/>
    <w:rsid w:val="004A3312"/>
    <w:rsid w:val="004B4FCA"/>
    <w:rsid w:val="004B5601"/>
    <w:rsid w:val="004B7261"/>
    <w:rsid w:val="004B7EF2"/>
    <w:rsid w:val="004C034B"/>
    <w:rsid w:val="004C0B0D"/>
    <w:rsid w:val="004C193C"/>
    <w:rsid w:val="004C2BCA"/>
    <w:rsid w:val="004C380D"/>
    <w:rsid w:val="004C4A6E"/>
    <w:rsid w:val="004C561F"/>
    <w:rsid w:val="004D48CE"/>
    <w:rsid w:val="004D4BD1"/>
    <w:rsid w:val="004D70BE"/>
    <w:rsid w:val="004E2E15"/>
    <w:rsid w:val="004E3708"/>
    <w:rsid w:val="004E4139"/>
    <w:rsid w:val="004F1599"/>
    <w:rsid w:val="004F178B"/>
    <w:rsid w:val="004F391B"/>
    <w:rsid w:val="004F429F"/>
    <w:rsid w:val="004F7AFF"/>
    <w:rsid w:val="00501257"/>
    <w:rsid w:val="0050350C"/>
    <w:rsid w:val="0050486B"/>
    <w:rsid w:val="00504F9C"/>
    <w:rsid w:val="00505014"/>
    <w:rsid w:val="0050704E"/>
    <w:rsid w:val="0051582A"/>
    <w:rsid w:val="00516E12"/>
    <w:rsid w:val="00522CAC"/>
    <w:rsid w:val="00523052"/>
    <w:rsid w:val="005234AC"/>
    <w:rsid w:val="00530189"/>
    <w:rsid w:val="0053163C"/>
    <w:rsid w:val="00531F86"/>
    <w:rsid w:val="00532E8B"/>
    <w:rsid w:val="0053473F"/>
    <w:rsid w:val="0053483E"/>
    <w:rsid w:val="005368C6"/>
    <w:rsid w:val="005406C5"/>
    <w:rsid w:val="00545489"/>
    <w:rsid w:val="00545BE1"/>
    <w:rsid w:val="005571EC"/>
    <w:rsid w:val="00557A8B"/>
    <w:rsid w:val="00557F61"/>
    <w:rsid w:val="00562D3E"/>
    <w:rsid w:val="005653B9"/>
    <w:rsid w:val="005653ED"/>
    <w:rsid w:val="00567721"/>
    <w:rsid w:val="005733D9"/>
    <w:rsid w:val="00573780"/>
    <w:rsid w:val="00573A67"/>
    <w:rsid w:val="00576D02"/>
    <w:rsid w:val="00582D71"/>
    <w:rsid w:val="00585E08"/>
    <w:rsid w:val="00587E35"/>
    <w:rsid w:val="005914D3"/>
    <w:rsid w:val="005919D0"/>
    <w:rsid w:val="005979EF"/>
    <w:rsid w:val="005A32AA"/>
    <w:rsid w:val="005A3B7D"/>
    <w:rsid w:val="005A6133"/>
    <w:rsid w:val="005A669D"/>
    <w:rsid w:val="005A7CB9"/>
    <w:rsid w:val="005B1241"/>
    <w:rsid w:val="005B7094"/>
    <w:rsid w:val="005B74DE"/>
    <w:rsid w:val="005C0E5E"/>
    <w:rsid w:val="005C1CC0"/>
    <w:rsid w:val="005C53DE"/>
    <w:rsid w:val="005C74AC"/>
    <w:rsid w:val="005D1864"/>
    <w:rsid w:val="005D3A88"/>
    <w:rsid w:val="005D3B31"/>
    <w:rsid w:val="005E32E7"/>
    <w:rsid w:val="005E41FD"/>
    <w:rsid w:val="005E481C"/>
    <w:rsid w:val="005F30B4"/>
    <w:rsid w:val="005F618D"/>
    <w:rsid w:val="005F6B78"/>
    <w:rsid w:val="00604685"/>
    <w:rsid w:val="0060645D"/>
    <w:rsid w:val="0061225C"/>
    <w:rsid w:val="006135DA"/>
    <w:rsid w:val="00614495"/>
    <w:rsid w:val="0061758D"/>
    <w:rsid w:val="00621148"/>
    <w:rsid w:val="00622BC0"/>
    <w:rsid w:val="006233A7"/>
    <w:rsid w:val="0063025C"/>
    <w:rsid w:val="00632209"/>
    <w:rsid w:val="00634097"/>
    <w:rsid w:val="00635550"/>
    <w:rsid w:val="006379CB"/>
    <w:rsid w:val="006403C1"/>
    <w:rsid w:val="00640477"/>
    <w:rsid w:val="00642808"/>
    <w:rsid w:val="00645D11"/>
    <w:rsid w:val="00645FAC"/>
    <w:rsid w:val="006477A5"/>
    <w:rsid w:val="006511FE"/>
    <w:rsid w:val="00651A42"/>
    <w:rsid w:val="00654CFB"/>
    <w:rsid w:val="0065538A"/>
    <w:rsid w:val="00661D4D"/>
    <w:rsid w:val="00664DF8"/>
    <w:rsid w:val="006656DB"/>
    <w:rsid w:val="00666B53"/>
    <w:rsid w:val="006673ED"/>
    <w:rsid w:val="00667413"/>
    <w:rsid w:val="0067555F"/>
    <w:rsid w:val="00676014"/>
    <w:rsid w:val="0067780A"/>
    <w:rsid w:val="0068029A"/>
    <w:rsid w:val="0068665F"/>
    <w:rsid w:val="00692A0B"/>
    <w:rsid w:val="00692AD9"/>
    <w:rsid w:val="00696290"/>
    <w:rsid w:val="006A394B"/>
    <w:rsid w:val="006A547B"/>
    <w:rsid w:val="006A7107"/>
    <w:rsid w:val="006B099D"/>
    <w:rsid w:val="006B18C0"/>
    <w:rsid w:val="006B1A45"/>
    <w:rsid w:val="006B2743"/>
    <w:rsid w:val="006B48BA"/>
    <w:rsid w:val="006B4EB4"/>
    <w:rsid w:val="006B5965"/>
    <w:rsid w:val="006B7734"/>
    <w:rsid w:val="006B7AA4"/>
    <w:rsid w:val="006C0F92"/>
    <w:rsid w:val="006C1E06"/>
    <w:rsid w:val="006C7627"/>
    <w:rsid w:val="006C7DEE"/>
    <w:rsid w:val="006D1ED3"/>
    <w:rsid w:val="006D370E"/>
    <w:rsid w:val="006D45E3"/>
    <w:rsid w:val="006D4C6E"/>
    <w:rsid w:val="006D4E84"/>
    <w:rsid w:val="006D60B6"/>
    <w:rsid w:val="006E03FF"/>
    <w:rsid w:val="006E2F53"/>
    <w:rsid w:val="006E3D34"/>
    <w:rsid w:val="006E5802"/>
    <w:rsid w:val="006E7CC2"/>
    <w:rsid w:val="006F1A16"/>
    <w:rsid w:val="006F2A39"/>
    <w:rsid w:val="006F2ECC"/>
    <w:rsid w:val="006F6194"/>
    <w:rsid w:val="00712288"/>
    <w:rsid w:val="00713DDE"/>
    <w:rsid w:val="0071482E"/>
    <w:rsid w:val="00715EE5"/>
    <w:rsid w:val="0071710A"/>
    <w:rsid w:val="00717DB7"/>
    <w:rsid w:val="00717F06"/>
    <w:rsid w:val="00721131"/>
    <w:rsid w:val="007224C2"/>
    <w:rsid w:val="00723678"/>
    <w:rsid w:val="00724079"/>
    <w:rsid w:val="007247E4"/>
    <w:rsid w:val="00730B52"/>
    <w:rsid w:val="00731FFA"/>
    <w:rsid w:val="00733802"/>
    <w:rsid w:val="00734283"/>
    <w:rsid w:val="007353F8"/>
    <w:rsid w:val="007358DD"/>
    <w:rsid w:val="00736E00"/>
    <w:rsid w:val="00742CC8"/>
    <w:rsid w:val="00744DE9"/>
    <w:rsid w:val="0074553C"/>
    <w:rsid w:val="007505F0"/>
    <w:rsid w:val="00754A4C"/>
    <w:rsid w:val="00755FAC"/>
    <w:rsid w:val="0075618D"/>
    <w:rsid w:val="00762956"/>
    <w:rsid w:val="00763F21"/>
    <w:rsid w:val="00764543"/>
    <w:rsid w:val="00764EC1"/>
    <w:rsid w:val="0077659A"/>
    <w:rsid w:val="007831E9"/>
    <w:rsid w:val="00786B73"/>
    <w:rsid w:val="007903AD"/>
    <w:rsid w:val="0079191D"/>
    <w:rsid w:val="00792F05"/>
    <w:rsid w:val="007A0DD2"/>
    <w:rsid w:val="007A1402"/>
    <w:rsid w:val="007A32B3"/>
    <w:rsid w:val="007A6C72"/>
    <w:rsid w:val="007A7492"/>
    <w:rsid w:val="007B0906"/>
    <w:rsid w:val="007B0C28"/>
    <w:rsid w:val="007B0D91"/>
    <w:rsid w:val="007B1ECE"/>
    <w:rsid w:val="007B3980"/>
    <w:rsid w:val="007B4373"/>
    <w:rsid w:val="007B4C62"/>
    <w:rsid w:val="007B5A4E"/>
    <w:rsid w:val="007B5DB8"/>
    <w:rsid w:val="007B6F6B"/>
    <w:rsid w:val="007C0E53"/>
    <w:rsid w:val="007C3223"/>
    <w:rsid w:val="007C3B44"/>
    <w:rsid w:val="007D034F"/>
    <w:rsid w:val="007D1282"/>
    <w:rsid w:val="007D16CB"/>
    <w:rsid w:val="007D2314"/>
    <w:rsid w:val="007E2E7F"/>
    <w:rsid w:val="007E2EC3"/>
    <w:rsid w:val="007E33CF"/>
    <w:rsid w:val="007E5ACD"/>
    <w:rsid w:val="007F3B16"/>
    <w:rsid w:val="007F4600"/>
    <w:rsid w:val="007F4C7F"/>
    <w:rsid w:val="00800FF8"/>
    <w:rsid w:val="00806F1A"/>
    <w:rsid w:val="008168D8"/>
    <w:rsid w:val="00816D46"/>
    <w:rsid w:val="00820735"/>
    <w:rsid w:val="00822497"/>
    <w:rsid w:val="00822BF5"/>
    <w:rsid w:val="008239DE"/>
    <w:rsid w:val="00831CBC"/>
    <w:rsid w:val="00831FB5"/>
    <w:rsid w:val="008351FA"/>
    <w:rsid w:val="00835D8E"/>
    <w:rsid w:val="0083621E"/>
    <w:rsid w:val="0084479E"/>
    <w:rsid w:val="00844CF0"/>
    <w:rsid w:val="00845103"/>
    <w:rsid w:val="00846CEE"/>
    <w:rsid w:val="00847E64"/>
    <w:rsid w:val="0085075E"/>
    <w:rsid w:val="008534D9"/>
    <w:rsid w:val="00854609"/>
    <w:rsid w:val="0085659C"/>
    <w:rsid w:val="00857E7A"/>
    <w:rsid w:val="008615A9"/>
    <w:rsid w:val="00861CBD"/>
    <w:rsid w:val="00862876"/>
    <w:rsid w:val="00864AFC"/>
    <w:rsid w:val="00864B3C"/>
    <w:rsid w:val="00864CE8"/>
    <w:rsid w:val="008655C7"/>
    <w:rsid w:val="00867FA3"/>
    <w:rsid w:val="00875A7A"/>
    <w:rsid w:val="00882264"/>
    <w:rsid w:val="00882C54"/>
    <w:rsid w:val="00883B74"/>
    <w:rsid w:val="008856D2"/>
    <w:rsid w:val="008876D2"/>
    <w:rsid w:val="00892506"/>
    <w:rsid w:val="00894809"/>
    <w:rsid w:val="00894953"/>
    <w:rsid w:val="00896F89"/>
    <w:rsid w:val="008A0119"/>
    <w:rsid w:val="008A2634"/>
    <w:rsid w:val="008A4CD3"/>
    <w:rsid w:val="008A6ADF"/>
    <w:rsid w:val="008A6C52"/>
    <w:rsid w:val="008B1F57"/>
    <w:rsid w:val="008B34A7"/>
    <w:rsid w:val="008B4CF9"/>
    <w:rsid w:val="008B606F"/>
    <w:rsid w:val="008B6CCF"/>
    <w:rsid w:val="008C111E"/>
    <w:rsid w:val="008C1ABF"/>
    <w:rsid w:val="008C265B"/>
    <w:rsid w:val="008C2AA3"/>
    <w:rsid w:val="008C4711"/>
    <w:rsid w:val="008D0F5F"/>
    <w:rsid w:val="008D47BF"/>
    <w:rsid w:val="008D5BA7"/>
    <w:rsid w:val="008D6E32"/>
    <w:rsid w:val="008E4DC8"/>
    <w:rsid w:val="008F1569"/>
    <w:rsid w:val="008F1BCE"/>
    <w:rsid w:val="008F1D61"/>
    <w:rsid w:val="008F39DB"/>
    <w:rsid w:val="008F3A55"/>
    <w:rsid w:val="008F57E3"/>
    <w:rsid w:val="008F58B2"/>
    <w:rsid w:val="00902153"/>
    <w:rsid w:val="009026A6"/>
    <w:rsid w:val="009037DB"/>
    <w:rsid w:val="00915CFE"/>
    <w:rsid w:val="00917281"/>
    <w:rsid w:val="00920A59"/>
    <w:rsid w:val="009264C7"/>
    <w:rsid w:val="009264E2"/>
    <w:rsid w:val="00934FDD"/>
    <w:rsid w:val="00936950"/>
    <w:rsid w:val="0093738F"/>
    <w:rsid w:val="00937513"/>
    <w:rsid w:val="00937F17"/>
    <w:rsid w:val="00943A52"/>
    <w:rsid w:val="0094424C"/>
    <w:rsid w:val="00944A4B"/>
    <w:rsid w:val="00946F16"/>
    <w:rsid w:val="00950709"/>
    <w:rsid w:val="00954FAF"/>
    <w:rsid w:val="009611DD"/>
    <w:rsid w:val="0096131B"/>
    <w:rsid w:val="00961823"/>
    <w:rsid w:val="00961AE8"/>
    <w:rsid w:val="00962450"/>
    <w:rsid w:val="0096307B"/>
    <w:rsid w:val="0096315D"/>
    <w:rsid w:val="00963A27"/>
    <w:rsid w:val="00966B2E"/>
    <w:rsid w:val="00967157"/>
    <w:rsid w:val="00970658"/>
    <w:rsid w:val="009715A3"/>
    <w:rsid w:val="009720C3"/>
    <w:rsid w:val="00975757"/>
    <w:rsid w:val="009770F4"/>
    <w:rsid w:val="00977E66"/>
    <w:rsid w:val="009860A6"/>
    <w:rsid w:val="00986A42"/>
    <w:rsid w:val="00987B1D"/>
    <w:rsid w:val="00991FCC"/>
    <w:rsid w:val="009924B1"/>
    <w:rsid w:val="0099421C"/>
    <w:rsid w:val="00996C19"/>
    <w:rsid w:val="009A76FA"/>
    <w:rsid w:val="009B116E"/>
    <w:rsid w:val="009B317F"/>
    <w:rsid w:val="009B5603"/>
    <w:rsid w:val="009B6868"/>
    <w:rsid w:val="009C45BE"/>
    <w:rsid w:val="009C5434"/>
    <w:rsid w:val="009C5776"/>
    <w:rsid w:val="009C6229"/>
    <w:rsid w:val="009C79A8"/>
    <w:rsid w:val="009D4BF2"/>
    <w:rsid w:val="009E095D"/>
    <w:rsid w:val="009E2FFB"/>
    <w:rsid w:val="009E39A7"/>
    <w:rsid w:val="009E6668"/>
    <w:rsid w:val="009E7932"/>
    <w:rsid w:val="009F45DD"/>
    <w:rsid w:val="009F6DB3"/>
    <w:rsid w:val="009F7989"/>
    <w:rsid w:val="00A043BE"/>
    <w:rsid w:val="00A0675C"/>
    <w:rsid w:val="00A10EFD"/>
    <w:rsid w:val="00A11F2E"/>
    <w:rsid w:val="00A12651"/>
    <w:rsid w:val="00A174B7"/>
    <w:rsid w:val="00A2015A"/>
    <w:rsid w:val="00A22D20"/>
    <w:rsid w:val="00A26BBA"/>
    <w:rsid w:val="00A33320"/>
    <w:rsid w:val="00A40559"/>
    <w:rsid w:val="00A41C49"/>
    <w:rsid w:val="00A4586C"/>
    <w:rsid w:val="00A46D01"/>
    <w:rsid w:val="00A5096A"/>
    <w:rsid w:val="00A50B13"/>
    <w:rsid w:val="00A51DA9"/>
    <w:rsid w:val="00A57423"/>
    <w:rsid w:val="00A57F50"/>
    <w:rsid w:val="00A62691"/>
    <w:rsid w:val="00A651FC"/>
    <w:rsid w:val="00A6548F"/>
    <w:rsid w:val="00A66C12"/>
    <w:rsid w:val="00A67B1E"/>
    <w:rsid w:val="00A71115"/>
    <w:rsid w:val="00A719D8"/>
    <w:rsid w:val="00A725CB"/>
    <w:rsid w:val="00A72C82"/>
    <w:rsid w:val="00A75400"/>
    <w:rsid w:val="00A75AC3"/>
    <w:rsid w:val="00A75CC3"/>
    <w:rsid w:val="00A77571"/>
    <w:rsid w:val="00A802E7"/>
    <w:rsid w:val="00A81E1D"/>
    <w:rsid w:val="00A82834"/>
    <w:rsid w:val="00A82FC4"/>
    <w:rsid w:val="00A849CD"/>
    <w:rsid w:val="00A91836"/>
    <w:rsid w:val="00A93934"/>
    <w:rsid w:val="00A957B5"/>
    <w:rsid w:val="00A95EF7"/>
    <w:rsid w:val="00AA1D80"/>
    <w:rsid w:val="00AA3993"/>
    <w:rsid w:val="00AA3B39"/>
    <w:rsid w:val="00AA694B"/>
    <w:rsid w:val="00AB386B"/>
    <w:rsid w:val="00AB5DE2"/>
    <w:rsid w:val="00AB7085"/>
    <w:rsid w:val="00AB7806"/>
    <w:rsid w:val="00AB7B26"/>
    <w:rsid w:val="00AC37B2"/>
    <w:rsid w:val="00AC42C6"/>
    <w:rsid w:val="00AC715C"/>
    <w:rsid w:val="00AC7F31"/>
    <w:rsid w:val="00AD0B71"/>
    <w:rsid w:val="00AD49C1"/>
    <w:rsid w:val="00AD5F81"/>
    <w:rsid w:val="00AD727F"/>
    <w:rsid w:val="00AE0A20"/>
    <w:rsid w:val="00AE1856"/>
    <w:rsid w:val="00AE27BA"/>
    <w:rsid w:val="00AE2DEC"/>
    <w:rsid w:val="00AE30F7"/>
    <w:rsid w:val="00AE3986"/>
    <w:rsid w:val="00AE3B97"/>
    <w:rsid w:val="00AE42E7"/>
    <w:rsid w:val="00AE5CA5"/>
    <w:rsid w:val="00AF3552"/>
    <w:rsid w:val="00AF37AD"/>
    <w:rsid w:val="00AF47EF"/>
    <w:rsid w:val="00AF4F0B"/>
    <w:rsid w:val="00B0137D"/>
    <w:rsid w:val="00B02DCA"/>
    <w:rsid w:val="00B03E82"/>
    <w:rsid w:val="00B0485A"/>
    <w:rsid w:val="00B05331"/>
    <w:rsid w:val="00B07238"/>
    <w:rsid w:val="00B0796F"/>
    <w:rsid w:val="00B12322"/>
    <w:rsid w:val="00B13CB6"/>
    <w:rsid w:val="00B1403A"/>
    <w:rsid w:val="00B15BE2"/>
    <w:rsid w:val="00B165CC"/>
    <w:rsid w:val="00B16D35"/>
    <w:rsid w:val="00B175E9"/>
    <w:rsid w:val="00B269A1"/>
    <w:rsid w:val="00B26B22"/>
    <w:rsid w:val="00B26CC6"/>
    <w:rsid w:val="00B3161A"/>
    <w:rsid w:val="00B3296C"/>
    <w:rsid w:val="00B34443"/>
    <w:rsid w:val="00B360DA"/>
    <w:rsid w:val="00B37E3A"/>
    <w:rsid w:val="00B4042B"/>
    <w:rsid w:val="00B4282C"/>
    <w:rsid w:val="00B43572"/>
    <w:rsid w:val="00B47BEB"/>
    <w:rsid w:val="00B50842"/>
    <w:rsid w:val="00B514E4"/>
    <w:rsid w:val="00B525D6"/>
    <w:rsid w:val="00B55477"/>
    <w:rsid w:val="00B5711C"/>
    <w:rsid w:val="00B57838"/>
    <w:rsid w:val="00B62CB2"/>
    <w:rsid w:val="00B64AA7"/>
    <w:rsid w:val="00B64AC5"/>
    <w:rsid w:val="00B65FD9"/>
    <w:rsid w:val="00B661F3"/>
    <w:rsid w:val="00B66F02"/>
    <w:rsid w:val="00B67132"/>
    <w:rsid w:val="00B71C59"/>
    <w:rsid w:val="00B72970"/>
    <w:rsid w:val="00B73AE4"/>
    <w:rsid w:val="00B75BA0"/>
    <w:rsid w:val="00B75D51"/>
    <w:rsid w:val="00B7691F"/>
    <w:rsid w:val="00B81D3B"/>
    <w:rsid w:val="00B82F9D"/>
    <w:rsid w:val="00B83638"/>
    <w:rsid w:val="00B83D8B"/>
    <w:rsid w:val="00B858E1"/>
    <w:rsid w:val="00B85FEF"/>
    <w:rsid w:val="00B90E13"/>
    <w:rsid w:val="00B975D7"/>
    <w:rsid w:val="00BB0922"/>
    <w:rsid w:val="00BB2D69"/>
    <w:rsid w:val="00BB6421"/>
    <w:rsid w:val="00BC27B7"/>
    <w:rsid w:val="00BC3A1D"/>
    <w:rsid w:val="00BC4FB4"/>
    <w:rsid w:val="00BD1C33"/>
    <w:rsid w:val="00BD2C77"/>
    <w:rsid w:val="00BD300E"/>
    <w:rsid w:val="00BD7B89"/>
    <w:rsid w:val="00BE0203"/>
    <w:rsid w:val="00BE0DE9"/>
    <w:rsid w:val="00BE1902"/>
    <w:rsid w:val="00BE75FA"/>
    <w:rsid w:val="00BE7AAC"/>
    <w:rsid w:val="00BF0322"/>
    <w:rsid w:val="00BF13F4"/>
    <w:rsid w:val="00BF15FC"/>
    <w:rsid w:val="00BF174D"/>
    <w:rsid w:val="00BF1DCE"/>
    <w:rsid w:val="00BF585F"/>
    <w:rsid w:val="00BF6254"/>
    <w:rsid w:val="00BF6DC4"/>
    <w:rsid w:val="00BF7852"/>
    <w:rsid w:val="00C0023E"/>
    <w:rsid w:val="00C00FB5"/>
    <w:rsid w:val="00C0228D"/>
    <w:rsid w:val="00C03CF9"/>
    <w:rsid w:val="00C1319D"/>
    <w:rsid w:val="00C14531"/>
    <w:rsid w:val="00C16BB1"/>
    <w:rsid w:val="00C251AD"/>
    <w:rsid w:val="00C25AB5"/>
    <w:rsid w:val="00C271FA"/>
    <w:rsid w:val="00C279C9"/>
    <w:rsid w:val="00C324AF"/>
    <w:rsid w:val="00C3568A"/>
    <w:rsid w:val="00C35D6D"/>
    <w:rsid w:val="00C37376"/>
    <w:rsid w:val="00C4073A"/>
    <w:rsid w:val="00C4312E"/>
    <w:rsid w:val="00C444F0"/>
    <w:rsid w:val="00C45249"/>
    <w:rsid w:val="00C47FED"/>
    <w:rsid w:val="00C52717"/>
    <w:rsid w:val="00C52BE9"/>
    <w:rsid w:val="00C52CBC"/>
    <w:rsid w:val="00C543DC"/>
    <w:rsid w:val="00C54562"/>
    <w:rsid w:val="00C54D57"/>
    <w:rsid w:val="00C55380"/>
    <w:rsid w:val="00C57902"/>
    <w:rsid w:val="00C60136"/>
    <w:rsid w:val="00C63A77"/>
    <w:rsid w:val="00C65917"/>
    <w:rsid w:val="00C66815"/>
    <w:rsid w:val="00C7220F"/>
    <w:rsid w:val="00C76FEC"/>
    <w:rsid w:val="00C77D8B"/>
    <w:rsid w:val="00C84AF8"/>
    <w:rsid w:val="00C85215"/>
    <w:rsid w:val="00C8593F"/>
    <w:rsid w:val="00C90305"/>
    <w:rsid w:val="00C9081B"/>
    <w:rsid w:val="00C91E8B"/>
    <w:rsid w:val="00C92872"/>
    <w:rsid w:val="00C936C8"/>
    <w:rsid w:val="00C94607"/>
    <w:rsid w:val="00C94BDD"/>
    <w:rsid w:val="00C94FF6"/>
    <w:rsid w:val="00C978DA"/>
    <w:rsid w:val="00C97FA7"/>
    <w:rsid w:val="00CA27D9"/>
    <w:rsid w:val="00CA67EB"/>
    <w:rsid w:val="00CB241A"/>
    <w:rsid w:val="00CB6201"/>
    <w:rsid w:val="00CB6FD9"/>
    <w:rsid w:val="00CC1605"/>
    <w:rsid w:val="00CC1990"/>
    <w:rsid w:val="00CC1E66"/>
    <w:rsid w:val="00CC6B92"/>
    <w:rsid w:val="00CC7AF9"/>
    <w:rsid w:val="00CD6795"/>
    <w:rsid w:val="00CE0B55"/>
    <w:rsid w:val="00CE1E37"/>
    <w:rsid w:val="00CE5A2C"/>
    <w:rsid w:val="00CF6A0E"/>
    <w:rsid w:val="00CF7241"/>
    <w:rsid w:val="00D03BC9"/>
    <w:rsid w:val="00D04BDD"/>
    <w:rsid w:val="00D05689"/>
    <w:rsid w:val="00D10DE2"/>
    <w:rsid w:val="00D13118"/>
    <w:rsid w:val="00D132E7"/>
    <w:rsid w:val="00D153FB"/>
    <w:rsid w:val="00D17DC1"/>
    <w:rsid w:val="00D2049B"/>
    <w:rsid w:val="00D20B68"/>
    <w:rsid w:val="00D25CE8"/>
    <w:rsid w:val="00D27DF4"/>
    <w:rsid w:val="00D30474"/>
    <w:rsid w:val="00D30EB4"/>
    <w:rsid w:val="00D3211A"/>
    <w:rsid w:val="00D3258F"/>
    <w:rsid w:val="00D33386"/>
    <w:rsid w:val="00D34901"/>
    <w:rsid w:val="00D374DE"/>
    <w:rsid w:val="00D42034"/>
    <w:rsid w:val="00D4615C"/>
    <w:rsid w:val="00D51443"/>
    <w:rsid w:val="00D52EBA"/>
    <w:rsid w:val="00D53ACC"/>
    <w:rsid w:val="00D54B26"/>
    <w:rsid w:val="00D563E2"/>
    <w:rsid w:val="00D60F92"/>
    <w:rsid w:val="00D62E5A"/>
    <w:rsid w:val="00D64FF7"/>
    <w:rsid w:val="00D73D37"/>
    <w:rsid w:val="00D74435"/>
    <w:rsid w:val="00D74C62"/>
    <w:rsid w:val="00D81FBF"/>
    <w:rsid w:val="00D915E0"/>
    <w:rsid w:val="00D92F01"/>
    <w:rsid w:val="00D94496"/>
    <w:rsid w:val="00D94C75"/>
    <w:rsid w:val="00D96284"/>
    <w:rsid w:val="00D97D68"/>
    <w:rsid w:val="00DA0156"/>
    <w:rsid w:val="00DA1B4E"/>
    <w:rsid w:val="00DA296E"/>
    <w:rsid w:val="00DA2FB7"/>
    <w:rsid w:val="00DA4F3D"/>
    <w:rsid w:val="00DC0200"/>
    <w:rsid w:val="00DC0720"/>
    <w:rsid w:val="00DC4A4B"/>
    <w:rsid w:val="00DD16E3"/>
    <w:rsid w:val="00DD32FD"/>
    <w:rsid w:val="00DD3DC4"/>
    <w:rsid w:val="00DD51E8"/>
    <w:rsid w:val="00DE21A4"/>
    <w:rsid w:val="00DE505F"/>
    <w:rsid w:val="00DE61D2"/>
    <w:rsid w:val="00DE6BA0"/>
    <w:rsid w:val="00DF1115"/>
    <w:rsid w:val="00DF39DC"/>
    <w:rsid w:val="00DF5444"/>
    <w:rsid w:val="00DF5EF0"/>
    <w:rsid w:val="00DF5F3F"/>
    <w:rsid w:val="00E04D5C"/>
    <w:rsid w:val="00E05411"/>
    <w:rsid w:val="00E100D1"/>
    <w:rsid w:val="00E105E5"/>
    <w:rsid w:val="00E1484D"/>
    <w:rsid w:val="00E1629B"/>
    <w:rsid w:val="00E20167"/>
    <w:rsid w:val="00E24429"/>
    <w:rsid w:val="00E307BB"/>
    <w:rsid w:val="00E3153E"/>
    <w:rsid w:val="00E31A47"/>
    <w:rsid w:val="00E4198E"/>
    <w:rsid w:val="00E46540"/>
    <w:rsid w:val="00E5307B"/>
    <w:rsid w:val="00E55634"/>
    <w:rsid w:val="00E56D05"/>
    <w:rsid w:val="00E57748"/>
    <w:rsid w:val="00E60511"/>
    <w:rsid w:val="00E60EB5"/>
    <w:rsid w:val="00E6346E"/>
    <w:rsid w:val="00E63DB6"/>
    <w:rsid w:val="00E6714A"/>
    <w:rsid w:val="00E74743"/>
    <w:rsid w:val="00E74F8C"/>
    <w:rsid w:val="00E76975"/>
    <w:rsid w:val="00E82A93"/>
    <w:rsid w:val="00E82C9B"/>
    <w:rsid w:val="00E834A2"/>
    <w:rsid w:val="00E844A3"/>
    <w:rsid w:val="00E904B9"/>
    <w:rsid w:val="00E950D7"/>
    <w:rsid w:val="00E9542B"/>
    <w:rsid w:val="00E974A5"/>
    <w:rsid w:val="00EA004B"/>
    <w:rsid w:val="00EA01C3"/>
    <w:rsid w:val="00EA305B"/>
    <w:rsid w:val="00EA37FB"/>
    <w:rsid w:val="00EA6E18"/>
    <w:rsid w:val="00EB056A"/>
    <w:rsid w:val="00EB6F9D"/>
    <w:rsid w:val="00EC09A7"/>
    <w:rsid w:val="00EC32A0"/>
    <w:rsid w:val="00EC4BAA"/>
    <w:rsid w:val="00EC5767"/>
    <w:rsid w:val="00ED65F7"/>
    <w:rsid w:val="00ED6C5D"/>
    <w:rsid w:val="00ED6E41"/>
    <w:rsid w:val="00ED795F"/>
    <w:rsid w:val="00EE10B6"/>
    <w:rsid w:val="00EE2A4A"/>
    <w:rsid w:val="00EE44FF"/>
    <w:rsid w:val="00EE510E"/>
    <w:rsid w:val="00EF0429"/>
    <w:rsid w:val="00EF057D"/>
    <w:rsid w:val="00EF11D3"/>
    <w:rsid w:val="00EF60AD"/>
    <w:rsid w:val="00EF7B67"/>
    <w:rsid w:val="00F0003E"/>
    <w:rsid w:val="00F01744"/>
    <w:rsid w:val="00F02176"/>
    <w:rsid w:val="00F026C5"/>
    <w:rsid w:val="00F034E1"/>
    <w:rsid w:val="00F0375F"/>
    <w:rsid w:val="00F0391F"/>
    <w:rsid w:val="00F05F94"/>
    <w:rsid w:val="00F1012B"/>
    <w:rsid w:val="00F12630"/>
    <w:rsid w:val="00F14259"/>
    <w:rsid w:val="00F17D87"/>
    <w:rsid w:val="00F17FF6"/>
    <w:rsid w:val="00F20ACD"/>
    <w:rsid w:val="00F22694"/>
    <w:rsid w:val="00F22F47"/>
    <w:rsid w:val="00F23439"/>
    <w:rsid w:val="00F31ADC"/>
    <w:rsid w:val="00F32DD0"/>
    <w:rsid w:val="00F33DF0"/>
    <w:rsid w:val="00F34383"/>
    <w:rsid w:val="00F34B49"/>
    <w:rsid w:val="00F45DEC"/>
    <w:rsid w:val="00F46076"/>
    <w:rsid w:val="00F46FED"/>
    <w:rsid w:val="00F500BD"/>
    <w:rsid w:val="00F50F7D"/>
    <w:rsid w:val="00F51EBD"/>
    <w:rsid w:val="00F52A8C"/>
    <w:rsid w:val="00F60938"/>
    <w:rsid w:val="00F641C8"/>
    <w:rsid w:val="00F647E0"/>
    <w:rsid w:val="00F6790B"/>
    <w:rsid w:val="00F748B9"/>
    <w:rsid w:val="00F81D8B"/>
    <w:rsid w:val="00F8390E"/>
    <w:rsid w:val="00F8775C"/>
    <w:rsid w:val="00F87AB2"/>
    <w:rsid w:val="00F91163"/>
    <w:rsid w:val="00F93C32"/>
    <w:rsid w:val="00FA3E4E"/>
    <w:rsid w:val="00FA7A20"/>
    <w:rsid w:val="00FB0384"/>
    <w:rsid w:val="00FB07C2"/>
    <w:rsid w:val="00FB16D5"/>
    <w:rsid w:val="00FB2055"/>
    <w:rsid w:val="00FB311E"/>
    <w:rsid w:val="00FB47E7"/>
    <w:rsid w:val="00FB4A96"/>
    <w:rsid w:val="00FB6D6D"/>
    <w:rsid w:val="00FD1B3E"/>
    <w:rsid w:val="00FD1E8B"/>
    <w:rsid w:val="00FD2B31"/>
    <w:rsid w:val="00FD2DD5"/>
    <w:rsid w:val="00FD39D3"/>
    <w:rsid w:val="00FD54EF"/>
    <w:rsid w:val="00FE2B61"/>
    <w:rsid w:val="00FE33FC"/>
    <w:rsid w:val="00FF3CF8"/>
    <w:rsid w:val="00FF3EC9"/>
    <w:rsid w:val="00FF5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4114"/>
  <w15:chartTrackingRefBased/>
  <w15:docId w15:val="{F53E0095-98B4-4510-9A8E-2B37608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0322"/>
  </w:style>
  <w:style w:type="paragraph" w:styleId="Titolo1">
    <w:name w:val="heading 1"/>
    <w:basedOn w:val="Normale"/>
    <w:next w:val="Normale"/>
    <w:link w:val="Titolo1Carattere"/>
    <w:uiPriority w:val="9"/>
    <w:qFormat/>
    <w:rsid w:val="002A0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0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0CC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0CC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0CC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0C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0C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0C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0C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0CC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0CC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0CC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0CC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0CC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0C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0C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0C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0C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0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0C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0C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0C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0C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0CCA"/>
    <w:rPr>
      <w:i/>
      <w:iCs/>
      <w:color w:val="404040" w:themeColor="text1" w:themeTint="BF"/>
    </w:rPr>
  </w:style>
  <w:style w:type="paragraph" w:styleId="Paragrafoelenco">
    <w:name w:val="List Paragraph"/>
    <w:basedOn w:val="Normale"/>
    <w:uiPriority w:val="34"/>
    <w:qFormat/>
    <w:rsid w:val="002A0CCA"/>
    <w:pPr>
      <w:ind w:left="720"/>
      <w:contextualSpacing/>
    </w:pPr>
  </w:style>
  <w:style w:type="character" w:styleId="Enfasiintensa">
    <w:name w:val="Intense Emphasis"/>
    <w:basedOn w:val="Carpredefinitoparagrafo"/>
    <w:uiPriority w:val="21"/>
    <w:qFormat/>
    <w:rsid w:val="002A0CCA"/>
    <w:rPr>
      <w:i/>
      <w:iCs/>
      <w:color w:val="0F4761" w:themeColor="accent1" w:themeShade="BF"/>
    </w:rPr>
  </w:style>
  <w:style w:type="paragraph" w:styleId="Citazioneintensa">
    <w:name w:val="Intense Quote"/>
    <w:basedOn w:val="Normale"/>
    <w:next w:val="Normale"/>
    <w:link w:val="CitazioneintensaCarattere"/>
    <w:uiPriority w:val="30"/>
    <w:qFormat/>
    <w:rsid w:val="002A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0CCA"/>
    <w:rPr>
      <w:i/>
      <w:iCs/>
      <w:color w:val="0F4761" w:themeColor="accent1" w:themeShade="BF"/>
    </w:rPr>
  </w:style>
  <w:style w:type="character" w:styleId="Riferimentointenso">
    <w:name w:val="Intense Reference"/>
    <w:basedOn w:val="Carpredefinitoparagrafo"/>
    <w:uiPriority w:val="32"/>
    <w:qFormat/>
    <w:rsid w:val="002A0CCA"/>
    <w:rPr>
      <w:b/>
      <w:bCs/>
      <w:smallCaps/>
      <w:color w:val="0F4761" w:themeColor="accent1" w:themeShade="BF"/>
      <w:spacing w:val="5"/>
    </w:rPr>
  </w:style>
  <w:style w:type="paragraph" w:styleId="Nessunaspaziatura">
    <w:name w:val="No Spacing"/>
    <w:link w:val="NessunaspaziaturaCarattere"/>
    <w:uiPriority w:val="1"/>
    <w:qFormat/>
    <w:rsid w:val="00DD3DC4"/>
    <w:pPr>
      <w:spacing w:after="0" w:line="240" w:lineRule="auto"/>
    </w:pPr>
    <w:rPr>
      <w:rFonts w:eastAsiaTheme="minorEastAsia"/>
      <w:kern w:val="0"/>
      <w:lang w:eastAsia="it-IT"/>
      <w14:ligatures w14:val="none"/>
    </w:rPr>
  </w:style>
  <w:style w:type="character" w:customStyle="1" w:styleId="NessunaspaziaturaCarattere">
    <w:name w:val="Nessuna spaziatura Carattere"/>
    <w:basedOn w:val="Carpredefinitoparagrafo"/>
    <w:link w:val="Nessunaspaziatura"/>
    <w:uiPriority w:val="1"/>
    <w:rsid w:val="00DD3DC4"/>
    <w:rPr>
      <w:rFonts w:eastAsiaTheme="minorEastAsia"/>
      <w:kern w:val="0"/>
      <w:lang w:eastAsia="it-IT"/>
      <w14:ligatures w14:val="none"/>
    </w:rPr>
  </w:style>
  <w:style w:type="paragraph" w:styleId="Intestazione">
    <w:name w:val="header"/>
    <w:basedOn w:val="Normale"/>
    <w:link w:val="IntestazioneCarattere"/>
    <w:uiPriority w:val="99"/>
    <w:unhideWhenUsed/>
    <w:rsid w:val="00A725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25CB"/>
  </w:style>
  <w:style w:type="paragraph" w:styleId="Pidipagina">
    <w:name w:val="footer"/>
    <w:basedOn w:val="Normale"/>
    <w:link w:val="PidipaginaCarattere"/>
    <w:uiPriority w:val="99"/>
    <w:unhideWhenUsed/>
    <w:rsid w:val="00A725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25CB"/>
  </w:style>
  <w:style w:type="paragraph" w:styleId="Revisione">
    <w:name w:val="Revision"/>
    <w:hidden/>
    <w:uiPriority w:val="99"/>
    <w:semiHidden/>
    <w:rsid w:val="00A957B5"/>
    <w:pPr>
      <w:spacing w:after="0" w:line="240" w:lineRule="auto"/>
    </w:pPr>
  </w:style>
  <w:style w:type="character" w:styleId="Collegamentoipertestuale">
    <w:name w:val="Hyperlink"/>
    <w:basedOn w:val="Carpredefinitoparagrafo"/>
    <w:uiPriority w:val="99"/>
    <w:unhideWhenUsed/>
    <w:rsid w:val="00137AFF"/>
    <w:rPr>
      <w:color w:val="467886" w:themeColor="hyperlink"/>
      <w:u w:val="single"/>
    </w:rPr>
  </w:style>
  <w:style w:type="character" w:styleId="Menzionenonrisolta">
    <w:name w:val="Unresolved Mention"/>
    <w:basedOn w:val="Carpredefinitoparagrafo"/>
    <w:uiPriority w:val="99"/>
    <w:semiHidden/>
    <w:unhideWhenUsed/>
    <w:rsid w:val="00137AFF"/>
    <w:rPr>
      <w:color w:val="605E5C"/>
      <w:shd w:val="clear" w:color="auto" w:fill="E1DFDD"/>
    </w:rPr>
  </w:style>
  <w:style w:type="character" w:styleId="Collegamentovisitato">
    <w:name w:val="FollowedHyperlink"/>
    <w:basedOn w:val="Carpredefinitoparagrafo"/>
    <w:uiPriority w:val="99"/>
    <w:semiHidden/>
    <w:unhideWhenUsed/>
    <w:rsid w:val="00934F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443946">
      <w:bodyDiv w:val="1"/>
      <w:marLeft w:val="0"/>
      <w:marRight w:val="0"/>
      <w:marTop w:val="0"/>
      <w:marBottom w:val="0"/>
      <w:divBdr>
        <w:top w:val="none" w:sz="0" w:space="0" w:color="auto"/>
        <w:left w:val="none" w:sz="0" w:space="0" w:color="auto"/>
        <w:bottom w:val="none" w:sz="0" w:space="0" w:color="auto"/>
        <w:right w:val="none" w:sz="0" w:space="0" w:color="auto"/>
      </w:divBdr>
    </w:div>
    <w:div w:id="504705287">
      <w:bodyDiv w:val="1"/>
      <w:marLeft w:val="0"/>
      <w:marRight w:val="0"/>
      <w:marTop w:val="0"/>
      <w:marBottom w:val="0"/>
      <w:divBdr>
        <w:top w:val="none" w:sz="0" w:space="0" w:color="auto"/>
        <w:left w:val="none" w:sz="0" w:space="0" w:color="auto"/>
        <w:bottom w:val="none" w:sz="0" w:space="0" w:color="auto"/>
        <w:right w:val="none" w:sz="0" w:space="0" w:color="auto"/>
      </w:divBdr>
    </w:div>
    <w:div w:id="774978193">
      <w:bodyDiv w:val="1"/>
      <w:marLeft w:val="0"/>
      <w:marRight w:val="0"/>
      <w:marTop w:val="0"/>
      <w:marBottom w:val="0"/>
      <w:divBdr>
        <w:top w:val="none" w:sz="0" w:space="0" w:color="auto"/>
        <w:left w:val="none" w:sz="0" w:space="0" w:color="auto"/>
        <w:bottom w:val="none" w:sz="0" w:space="0" w:color="auto"/>
        <w:right w:val="none" w:sz="0" w:space="0" w:color="auto"/>
      </w:divBdr>
    </w:div>
    <w:div w:id="842861431">
      <w:bodyDiv w:val="1"/>
      <w:marLeft w:val="0"/>
      <w:marRight w:val="0"/>
      <w:marTop w:val="0"/>
      <w:marBottom w:val="0"/>
      <w:divBdr>
        <w:top w:val="none" w:sz="0" w:space="0" w:color="auto"/>
        <w:left w:val="none" w:sz="0" w:space="0" w:color="auto"/>
        <w:bottom w:val="none" w:sz="0" w:space="0" w:color="auto"/>
        <w:right w:val="none" w:sz="0" w:space="0" w:color="auto"/>
      </w:divBdr>
    </w:div>
    <w:div w:id="1274481205">
      <w:bodyDiv w:val="1"/>
      <w:marLeft w:val="0"/>
      <w:marRight w:val="0"/>
      <w:marTop w:val="0"/>
      <w:marBottom w:val="0"/>
      <w:divBdr>
        <w:top w:val="none" w:sz="0" w:space="0" w:color="auto"/>
        <w:left w:val="none" w:sz="0" w:space="0" w:color="auto"/>
        <w:bottom w:val="none" w:sz="0" w:space="0" w:color="auto"/>
        <w:right w:val="none" w:sz="0" w:space="0" w:color="auto"/>
      </w:divBdr>
    </w:div>
    <w:div w:id="1497576732">
      <w:bodyDiv w:val="1"/>
      <w:marLeft w:val="0"/>
      <w:marRight w:val="0"/>
      <w:marTop w:val="0"/>
      <w:marBottom w:val="0"/>
      <w:divBdr>
        <w:top w:val="none" w:sz="0" w:space="0" w:color="auto"/>
        <w:left w:val="none" w:sz="0" w:space="0" w:color="auto"/>
        <w:bottom w:val="none" w:sz="0" w:space="0" w:color="auto"/>
        <w:right w:val="none" w:sz="0" w:space="0" w:color="auto"/>
      </w:divBdr>
    </w:div>
    <w:div w:id="1525635820">
      <w:bodyDiv w:val="1"/>
      <w:marLeft w:val="0"/>
      <w:marRight w:val="0"/>
      <w:marTop w:val="0"/>
      <w:marBottom w:val="0"/>
      <w:divBdr>
        <w:top w:val="none" w:sz="0" w:space="0" w:color="auto"/>
        <w:left w:val="none" w:sz="0" w:space="0" w:color="auto"/>
        <w:bottom w:val="none" w:sz="0" w:space="0" w:color="auto"/>
        <w:right w:val="none" w:sz="0" w:space="0" w:color="auto"/>
      </w:divBdr>
    </w:div>
    <w:div w:id="1573782241">
      <w:bodyDiv w:val="1"/>
      <w:marLeft w:val="0"/>
      <w:marRight w:val="0"/>
      <w:marTop w:val="0"/>
      <w:marBottom w:val="0"/>
      <w:divBdr>
        <w:top w:val="none" w:sz="0" w:space="0" w:color="auto"/>
        <w:left w:val="none" w:sz="0" w:space="0" w:color="auto"/>
        <w:bottom w:val="none" w:sz="0" w:space="0" w:color="auto"/>
        <w:right w:val="none" w:sz="0" w:space="0" w:color="auto"/>
      </w:divBdr>
    </w:div>
    <w:div w:id="1582325416">
      <w:bodyDiv w:val="1"/>
      <w:marLeft w:val="0"/>
      <w:marRight w:val="0"/>
      <w:marTop w:val="0"/>
      <w:marBottom w:val="0"/>
      <w:divBdr>
        <w:top w:val="none" w:sz="0" w:space="0" w:color="auto"/>
        <w:left w:val="none" w:sz="0" w:space="0" w:color="auto"/>
        <w:bottom w:val="none" w:sz="0" w:space="0" w:color="auto"/>
        <w:right w:val="none" w:sz="0" w:space="0" w:color="auto"/>
      </w:divBdr>
    </w:div>
    <w:div w:id="20552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07B5-46CF-481E-984A-E62DDF29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3286</Words>
  <Characters>17219</Characters>
  <Application>Microsoft Office Word</Application>
  <DocSecurity>0</DocSecurity>
  <Lines>358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Daloisi</dc:creator>
  <cp:keywords/>
  <dc:description/>
  <cp:lastModifiedBy>Marco Daloisi</cp:lastModifiedBy>
  <cp:revision>37</cp:revision>
  <cp:lastPrinted>2024-12-03T15:24:00Z</cp:lastPrinted>
  <dcterms:created xsi:type="dcterms:W3CDTF">2024-12-09T10:16:00Z</dcterms:created>
  <dcterms:modified xsi:type="dcterms:W3CDTF">2024-12-09T14:38:00Z</dcterms:modified>
</cp:coreProperties>
</file>